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555" w:rsidRDefault="00DF1739" w:rsidP="00DF1739">
      <w:pPr>
        <w:widowControl w:val="0"/>
        <w:pBdr>
          <w:top w:val="nil"/>
          <w:left w:val="nil"/>
          <w:bottom w:val="nil"/>
          <w:right w:val="nil"/>
          <w:between w:val="nil"/>
        </w:pBdr>
        <w:spacing w:after="120"/>
        <w:ind w:right="-2"/>
        <w:jc w:val="center"/>
        <w:rPr>
          <w:rFonts w:ascii="Liberation Serif" w:eastAsia="Liberation Serif" w:hAnsi="Liberation Serif" w:cs="Liberation Serif"/>
          <w:color w:val="000000"/>
          <w:sz w:val="24"/>
          <w:szCs w:val="24"/>
        </w:rPr>
      </w:pPr>
      <w:r>
        <w:rPr>
          <w:rFonts w:ascii="Times New Roman" w:eastAsia="Times New Roman" w:hAnsi="Times New Roman" w:cs="Times New Roman"/>
          <w:noProof/>
          <w:color w:val="000000"/>
        </w:rPr>
        <w:drawing>
          <wp:inline distT="0" distB="0" distL="114300" distR="114300">
            <wp:extent cx="579120" cy="68199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5"/>
                    <a:srcRect/>
                    <a:stretch>
                      <a:fillRect/>
                    </a:stretch>
                  </pic:blipFill>
                  <pic:spPr>
                    <a:xfrm>
                      <a:off x="0" y="0"/>
                      <a:ext cx="579120" cy="681990"/>
                    </a:xfrm>
                    <a:prstGeom prst="rect">
                      <a:avLst/>
                    </a:prstGeom>
                    <a:ln/>
                  </pic:spPr>
                </pic:pic>
              </a:graphicData>
            </a:graphic>
          </wp:inline>
        </w:drawing>
      </w:r>
    </w:p>
    <w:p w:rsidR="006C0555" w:rsidRDefault="00DF1739" w:rsidP="00DF1739">
      <w:pPr>
        <w:widowControl w:val="0"/>
        <w:pBdr>
          <w:top w:val="nil"/>
          <w:left w:val="nil"/>
          <w:bottom w:val="nil"/>
          <w:right w:val="nil"/>
          <w:between w:val="nil"/>
        </w:pBdr>
        <w:ind w:left="720" w:right="-2"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rsidR="006C0555" w:rsidRDefault="00DF1739" w:rsidP="00DF1739">
      <w:pPr>
        <w:widowControl w:val="0"/>
        <w:pBdr>
          <w:top w:val="nil"/>
          <w:left w:val="nil"/>
          <w:bottom w:val="single" w:sz="12" w:space="1" w:color="000000"/>
          <w:right w:val="nil"/>
          <w:between w:val="nil"/>
        </w:pBdr>
        <w:ind w:left="720" w:right="-2"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rsidR="006C0555" w:rsidRDefault="00DF1739" w:rsidP="00DF1739">
      <w:pPr>
        <w:widowControl w:val="0"/>
        <w:pBdr>
          <w:top w:val="nil"/>
          <w:left w:val="nil"/>
          <w:bottom w:val="nil"/>
          <w:right w:val="nil"/>
          <w:between w:val="nil"/>
        </w:pBdr>
        <w:ind w:left="720" w:right="-2"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rsidR="006C0555" w:rsidRDefault="00DF1739" w:rsidP="00DF1739">
      <w:pPr>
        <w:widowControl w:val="0"/>
        <w:pBdr>
          <w:top w:val="nil"/>
          <w:left w:val="nil"/>
          <w:bottom w:val="nil"/>
          <w:right w:val="nil"/>
          <w:between w:val="nil"/>
        </w:pBdr>
        <w:ind w:left="720" w:right="-2" w:hanging="720"/>
        <w:jc w:val="center"/>
        <w:rPr>
          <w:rFonts w:ascii="Liberation Serif" w:eastAsia="Liberation Serif" w:hAnsi="Liberation Serif" w:cs="Liberation Serif"/>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rsidR="006C0555" w:rsidRDefault="006C0555" w:rsidP="00DF1739">
      <w:pPr>
        <w:widowControl w:val="0"/>
        <w:pBdr>
          <w:top w:val="nil"/>
          <w:left w:val="nil"/>
          <w:bottom w:val="nil"/>
          <w:right w:val="nil"/>
          <w:between w:val="nil"/>
        </w:pBdr>
        <w:ind w:right="-2"/>
        <w:jc w:val="center"/>
        <w:rPr>
          <w:rFonts w:ascii="Times New Roman" w:eastAsia="Times New Roman" w:hAnsi="Times New Roman" w:cs="Times New Roman"/>
          <w:color w:val="000000"/>
          <w:sz w:val="24"/>
          <w:szCs w:val="24"/>
        </w:rPr>
      </w:pPr>
    </w:p>
    <w:p w:rsidR="006C0555" w:rsidRDefault="00DF1739" w:rsidP="00DF1739">
      <w:pPr>
        <w:pBdr>
          <w:top w:val="nil"/>
          <w:left w:val="nil"/>
          <w:bottom w:val="nil"/>
          <w:right w:val="nil"/>
          <w:between w:val="nil"/>
        </w:pBdr>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rsidR="006C0555" w:rsidRDefault="00DF1739" w:rsidP="00DF1739">
      <w:pPr>
        <w:pBdr>
          <w:top w:val="nil"/>
          <w:left w:val="nil"/>
          <w:bottom w:val="nil"/>
          <w:right w:val="nil"/>
          <w:between w:val="nil"/>
        </w:pBdr>
        <w:ind w:right="-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rsidR="006C0555" w:rsidRDefault="00DF1739" w:rsidP="00DF1739">
      <w:pPr>
        <w:pBdr>
          <w:top w:val="nil"/>
          <w:left w:val="nil"/>
          <w:bottom w:val="nil"/>
          <w:right w:val="nil"/>
          <w:between w:val="nil"/>
        </w:pBdr>
        <w:ind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2019. gada </w:t>
      </w:r>
      <w:r w:rsidR="00FF3477">
        <w:rPr>
          <w:rFonts w:ascii="Times New Roman" w:eastAsia="Times New Roman" w:hAnsi="Times New Roman" w:cs="Times New Roman"/>
          <w:color w:val="000000"/>
          <w:sz w:val="24"/>
          <w:szCs w:val="24"/>
        </w:rPr>
        <w:t>28.novembrī</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Nr.</w:t>
      </w:r>
      <w:r w:rsidR="00FF3477">
        <w:rPr>
          <w:rFonts w:ascii="Times New Roman" w:eastAsia="Times New Roman" w:hAnsi="Times New Roman" w:cs="Times New Roman"/>
          <w:color w:val="000000"/>
          <w:sz w:val="24"/>
          <w:szCs w:val="24"/>
        </w:rPr>
        <w:t>497</w:t>
      </w:r>
    </w:p>
    <w:p w:rsidR="006C0555" w:rsidRDefault="00DF1739" w:rsidP="00DF1739">
      <w:pPr>
        <w:pBdr>
          <w:top w:val="nil"/>
          <w:left w:val="nil"/>
          <w:bottom w:val="nil"/>
          <w:right w:val="nil"/>
          <w:between w:val="nil"/>
        </w:pBdr>
        <w:ind w:right="-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(protokols Nr.</w:t>
      </w:r>
      <w:r w:rsidR="00FF3477">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00FF3477">
        <w:rPr>
          <w:rFonts w:ascii="Times New Roman" w:eastAsia="Times New Roman" w:hAnsi="Times New Roman" w:cs="Times New Roman"/>
          <w:color w:val="000000"/>
          <w:sz w:val="24"/>
          <w:szCs w:val="24"/>
        </w:rPr>
        <w:t>31</w:t>
      </w:r>
      <w:r>
        <w:rPr>
          <w:rFonts w:ascii="Times New Roman" w:eastAsia="Times New Roman" w:hAnsi="Times New Roman" w:cs="Times New Roman"/>
          <w:color w:val="000000"/>
          <w:sz w:val="24"/>
          <w:szCs w:val="24"/>
        </w:rPr>
        <w:t>.p)</w:t>
      </w:r>
    </w:p>
    <w:p w:rsidR="006C0555" w:rsidRDefault="006C0555" w:rsidP="00DF1739">
      <w:pPr>
        <w:pBdr>
          <w:top w:val="nil"/>
          <w:left w:val="nil"/>
          <w:bottom w:val="nil"/>
          <w:right w:val="nil"/>
          <w:between w:val="nil"/>
        </w:pBdr>
        <w:ind w:right="-2"/>
        <w:rPr>
          <w:rFonts w:ascii="Times New Roman" w:eastAsia="Times New Roman" w:hAnsi="Times New Roman" w:cs="Times New Roman"/>
          <w:color w:val="000000"/>
          <w:sz w:val="24"/>
          <w:szCs w:val="24"/>
        </w:rPr>
      </w:pPr>
    </w:p>
    <w:p w:rsidR="006C0555" w:rsidRDefault="00DF1739" w:rsidP="00DF1739">
      <w:pPr>
        <w:keepNext/>
        <w:pBdr>
          <w:top w:val="nil"/>
          <w:left w:val="nil"/>
          <w:bottom w:val="nil"/>
          <w:right w:val="nil"/>
          <w:between w:val="nil"/>
        </w:pBdr>
        <w:ind w:right="-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nekustamā īpašuma izsoles rezultātu apstiprināšanu</w:t>
      </w:r>
    </w:p>
    <w:p w:rsidR="006C0555" w:rsidRDefault="006C0555" w:rsidP="00DF1739">
      <w:pPr>
        <w:pBdr>
          <w:top w:val="nil"/>
          <w:left w:val="nil"/>
          <w:bottom w:val="nil"/>
          <w:right w:val="nil"/>
          <w:between w:val="nil"/>
        </w:pBdr>
        <w:ind w:right="-2"/>
        <w:jc w:val="both"/>
        <w:rPr>
          <w:color w:val="000000"/>
          <w:sz w:val="22"/>
          <w:szCs w:val="22"/>
        </w:rPr>
      </w:pPr>
    </w:p>
    <w:p w:rsidR="006C0555" w:rsidRDefault="00DF1739" w:rsidP="00DF1739">
      <w:pPr>
        <w:pBdr>
          <w:top w:val="nil"/>
          <w:left w:val="nil"/>
          <w:bottom w:val="nil"/>
          <w:right w:val="nil"/>
          <w:between w:val="nil"/>
        </w:pBdr>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pašvaldības izpilddirektors </w:t>
      </w:r>
      <w:proofErr w:type="spellStart"/>
      <w:r>
        <w:rPr>
          <w:rFonts w:ascii="Times New Roman" w:eastAsia="Times New Roman" w:hAnsi="Times New Roman" w:cs="Times New Roman"/>
          <w:color w:val="000000"/>
          <w:sz w:val="24"/>
          <w:szCs w:val="24"/>
        </w:rPr>
        <w:t>F.Puņeiko</w:t>
      </w:r>
      <w:proofErr w:type="spellEnd"/>
      <w:r>
        <w:rPr>
          <w:rFonts w:ascii="Times New Roman" w:eastAsia="Times New Roman" w:hAnsi="Times New Roman" w:cs="Times New Roman"/>
          <w:color w:val="000000"/>
          <w:sz w:val="24"/>
          <w:szCs w:val="24"/>
        </w:rPr>
        <w:t xml:space="preserve"> iepazīstina deputātus ar nekustamā īpašuma –  “Tehnikums-Lāčplēša iela”, Priekuļu pagasts, Priekuļu novads, izsoles rezultātiem.</w:t>
      </w:r>
    </w:p>
    <w:p w:rsidR="006C0555" w:rsidRDefault="00DF1739" w:rsidP="00DF1739">
      <w:pPr>
        <w:pBdr>
          <w:top w:val="nil"/>
          <w:left w:val="nil"/>
          <w:bottom w:val="nil"/>
          <w:right w:val="nil"/>
          <w:between w:val="nil"/>
        </w:pBdr>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Izvērtējot domes rīcībā esošo informāciju, tajā skaitā Priekuļu novada pašvaldības Mantas atsavināšanas un izsoles komisijas 2019.gada 13.novembra protokolu, konstatēts, ka izsoles procedūra veikta atbilstoši Latvijas Republikas normatīvo aktu prasībām, par izsoles procedūras veikšanu nav saņemta neviena sūdzība.</w:t>
      </w:r>
    </w:p>
    <w:p w:rsidR="006C0555" w:rsidRDefault="00DF1739" w:rsidP="00DF1739">
      <w:pPr>
        <w:pBdr>
          <w:top w:val="nil"/>
          <w:left w:val="nil"/>
          <w:bottom w:val="nil"/>
          <w:right w:val="nil"/>
          <w:between w:val="nil"/>
        </w:pBdr>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Nekustamais īpašums nosolīts par cenu EUR 11500,00.</w:t>
      </w:r>
    </w:p>
    <w:p w:rsidR="006C0555" w:rsidRDefault="00DF1739" w:rsidP="00DF1739">
      <w:pPr>
        <w:pBdr>
          <w:top w:val="nil"/>
          <w:left w:val="nil"/>
          <w:bottom w:val="nil"/>
          <w:right w:val="nil"/>
          <w:between w:val="nil"/>
        </w:pBdr>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Likuma “Par pašvaldībām” 14.panta pirmās daļas 2.punkts nosaka, ka pildot savas autonomās funkcijas, pašvaldībām likumā noteiktajā kārtībā ir tiesības iegūt un atsavināt kustamo un nekustamo mantu, privatizēt pašvaldību īpašuma objektus, slēgt darījumus, kā arī veikt citas privāttiesiska rakstura darbības, savukārt, 21.panta pirmās daļas 17.punkts nosaka, ka dome var izskatīt jebkuru jautājumu, kas ir attiecīgās pašvaldības pārziņā, turklāt tikai dome var lemt par pašvaldības nekustamā īpašuma atsavināšanu, ieķīlāšanu vai privatizēšanu.</w:t>
      </w:r>
    </w:p>
    <w:p w:rsidR="006C0555" w:rsidRDefault="00DF1739" w:rsidP="00DF1739">
      <w:pPr>
        <w:pBdr>
          <w:top w:val="nil"/>
          <w:left w:val="nil"/>
          <w:bottom w:val="nil"/>
          <w:right w:val="nil"/>
          <w:between w:val="nil"/>
        </w:pBdr>
        <w:ind w:right="-2"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Publiskas personas mantas atsavināšanas likuma 10.panta pirmā daļa paredz, ka Izsoles noteikumos norāda institūciju (amatpersonu), kura apstiprina izsoles rezultātus un kurai var iesnieg</w:t>
      </w:r>
      <w:r w:rsidR="009D5D69">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sūdzības par izsoles rīkotāja darbībām. Nekustamā īpašuma izsoles noteikumu 6.2.p. noteikts, ka izsoles rezultātu apstiprina Priekuļu novada dome. </w:t>
      </w:r>
    </w:p>
    <w:p w:rsidR="00FF3477" w:rsidRPr="00FF3477" w:rsidRDefault="00DF1739" w:rsidP="00FF3477">
      <w:pPr>
        <w:pBdr>
          <w:top w:val="nil"/>
          <w:left w:val="nil"/>
          <w:bottom w:val="nil"/>
          <w:right w:val="nil"/>
          <w:between w:val="nil"/>
        </w:pBdr>
        <w:ind w:right="-2"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Ņemot vērā iepriekš minēto un pamatojoties uz likuma “Par pašvaldībām” 14.panta pirmās daļas 2.punktu, 21.panta pirmās daļas 17.punktu, Publiskas personas mantas atsavināšanas likuma 10.panta pirmo daļu, Finanšu komitejas 2019.gada 25.novembra  atzinumu par lēmumprojektu</w:t>
      </w:r>
      <w:r>
        <w:rPr>
          <w:rFonts w:ascii="Times New Roman" w:eastAsia="Times New Roman" w:hAnsi="Times New Roman" w:cs="Times New Roman"/>
          <w:sz w:val="24"/>
          <w:szCs w:val="24"/>
        </w:rPr>
        <w:t xml:space="preserve"> (protokols Nr.</w:t>
      </w:r>
      <w:r w:rsidR="00FF3477">
        <w:rPr>
          <w:rFonts w:ascii="Times New Roman" w:eastAsia="Times New Roman" w:hAnsi="Times New Roman" w:cs="Times New Roman"/>
          <w:sz w:val="24"/>
          <w:szCs w:val="24"/>
        </w:rPr>
        <w:t>12</w:t>
      </w:r>
      <w:r>
        <w:rPr>
          <w:rFonts w:ascii="Times New Roman" w:eastAsia="Times New Roman" w:hAnsi="Times New Roman" w:cs="Times New Roman"/>
          <w:sz w:val="24"/>
          <w:szCs w:val="24"/>
        </w:rPr>
        <w:t>)</w:t>
      </w:r>
      <w:bookmarkStart w:id="0" w:name="_Hlk20477436"/>
      <w:r w:rsidR="00FF3477">
        <w:rPr>
          <w:rFonts w:ascii="Times New Roman" w:eastAsia="Times New Roman" w:hAnsi="Times New Roman" w:cs="Times New Roman"/>
          <w:sz w:val="24"/>
          <w:szCs w:val="24"/>
        </w:rPr>
        <w:t xml:space="preserve">, </w:t>
      </w:r>
      <w:r w:rsidR="00FF3477" w:rsidRPr="002A57AD">
        <w:rPr>
          <w:rFonts w:ascii="Times New Roman" w:hAnsi="Times New Roman" w:cs="Times New Roman"/>
          <w:sz w:val="24"/>
          <w:szCs w:val="24"/>
        </w:rPr>
        <w:t>atklāti balsojot: PAR –14 (</w:t>
      </w:r>
      <w:r w:rsidR="00FF3477" w:rsidRPr="002A57AD">
        <w:rPr>
          <w:rFonts w:ascii="Times New Roman" w:hAnsi="Times New Roman" w:cs="Times New Roman"/>
          <w:color w:val="000000"/>
          <w:sz w:val="24"/>
          <w:szCs w:val="24"/>
        </w:rPr>
        <w:t xml:space="preserve">Elīna </w:t>
      </w:r>
      <w:proofErr w:type="spellStart"/>
      <w:r w:rsidR="00FF3477" w:rsidRPr="002A57AD">
        <w:rPr>
          <w:rFonts w:ascii="Times New Roman" w:hAnsi="Times New Roman" w:cs="Times New Roman"/>
          <w:color w:val="000000"/>
          <w:sz w:val="24"/>
          <w:szCs w:val="24"/>
        </w:rPr>
        <w:t>Stapulone</w:t>
      </w:r>
      <w:proofErr w:type="spellEnd"/>
      <w:r w:rsidR="00FF3477" w:rsidRPr="002A57AD">
        <w:rPr>
          <w:rFonts w:ascii="Times New Roman" w:hAnsi="Times New Roman" w:cs="Times New Roman"/>
          <w:color w:val="000000"/>
          <w:sz w:val="24"/>
          <w:szCs w:val="24"/>
        </w:rPr>
        <w:t xml:space="preserve">, Dace Kalniņa, Aivars </w:t>
      </w:r>
      <w:proofErr w:type="spellStart"/>
      <w:r w:rsidR="00FF3477" w:rsidRPr="002A57AD">
        <w:rPr>
          <w:rFonts w:ascii="Times New Roman" w:hAnsi="Times New Roman" w:cs="Times New Roman"/>
          <w:color w:val="000000"/>
          <w:sz w:val="24"/>
          <w:szCs w:val="24"/>
        </w:rPr>
        <w:t>Tīdemanis</w:t>
      </w:r>
      <w:proofErr w:type="spellEnd"/>
      <w:r w:rsidR="00FF3477" w:rsidRPr="002A57AD">
        <w:rPr>
          <w:rFonts w:ascii="Times New Roman" w:hAnsi="Times New Roman" w:cs="Times New Roman"/>
          <w:color w:val="000000"/>
          <w:sz w:val="24"/>
          <w:szCs w:val="24"/>
        </w:rPr>
        <w:t xml:space="preserve">, Elīna Krieviņa, Jānis </w:t>
      </w:r>
      <w:proofErr w:type="spellStart"/>
      <w:r w:rsidR="00FF3477" w:rsidRPr="002A57AD">
        <w:rPr>
          <w:rFonts w:ascii="Times New Roman" w:hAnsi="Times New Roman" w:cs="Times New Roman"/>
          <w:color w:val="000000"/>
          <w:sz w:val="24"/>
          <w:szCs w:val="24"/>
        </w:rPr>
        <w:t>Mičulis</w:t>
      </w:r>
      <w:proofErr w:type="spellEnd"/>
      <w:r w:rsidR="00FF3477" w:rsidRPr="002A57AD">
        <w:rPr>
          <w:rFonts w:ascii="Times New Roman" w:hAnsi="Times New Roman" w:cs="Times New Roman"/>
          <w:color w:val="000000"/>
          <w:sz w:val="24"/>
          <w:szCs w:val="24"/>
        </w:rPr>
        <w:t xml:space="preserve">, Mārīte Raudziņa, Arnis Melbārdis, Jānis </w:t>
      </w:r>
      <w:proofErr w:type="spellStart"/>
      <w:r w:rsidR="00FF3477" w:rsidRPr="002A57AD">
        <w:rPr>
          <w:rFonts w:ascii="Times New Roman" w:hAnsi="Times New Roman" w:cs="Times New Roman"/>
          <w:color w:val="000000"/>
          <w:sz w:val="24"/>
          <w:szCs w:val="24"/>
        </w:rPr>
        <w:t>Ročāns</w:t>
      </w:r>
      <w:proofErr w:type="spellEnd"/>
      <w:r w:rsidR="00FF3477" w:rsidRPr="002A57AD">
        <w:rPr>
          <w:rFonts w:ascii="Times New Roman" w:hAnsi="Times New Roman" w:cs="Times New Roman"/>
          <w:color w:val="000000"/>
          <w:sz w:val="24"/>
          <w:szCs w:val="24"/>
        </w:rPr>
        <w:t xml:space="preserve">, Aivars Kalnietis, Normunds Kažoks, Ināra </w:t>
      </w:r>
      <w:proofErr w:type="spellStart"/>
      <w:r w:rsidR="00FF3477" w:rsidRPr="002A57AD">
        <w:rPr>
          <w:rFonts w:ascii="Times New Roman" w:hAnsi="Times New Roman" w:cs="Times New Roman"/>
          <w:color w:val="000000"/>
          <w:sz w:val="24"/>
          <w:szCs w:val="24"/>
        </w:rPr>
        <w:t>Roce</w:t>
      </w:r>
      <w:proofErr w:type="spellEnd"/>
      <w:r w:rsidR="00FF3477" w:rsidRPr="002A57AD">
        <w:rPr>
          <w:rFonts w:ascii="Times New Roman" w:hAnsi="Times New Roman" w:cs="Times New Roman"/>
          <w:color w:val="000000"/>
          <w:sz w:val="24"/>
          <w:szCs w:val="24"/>
        </w:rPr>
        <w:t xml:space="preserve">, Elīna Krieviņa, Māris Baltiņš, Baiba </w:t>
      </w:r>
      <w:proofErr w:type="spellStart"/>
      <w:r w:rsidR="00FF3477" w:rsidRPr="002A57AD">
        <w:rPr>
          <w:rFonts w:ascii="Times New Roman" w:hAnsi="Times New Roman" w:cs="Times New Roman"/>
          <w:color w:val="000000"/>
          <w:sz w:val="24"/>
          <w:szCs w:val="24"/>
        </w:rPr>
        <w:t>Karlsberga</w:t>
      </w:r>
      <w:proofErr w:type="spellEnd"/>
      <w:r w:rsidR="00FF3477" w:rsidRPr="002A57AD">
        <w:rPr>
          <w:rFonts w:ascii="Times New Roman" w:hAnsi="Times New Roman" w:cs="Times New Roman"/>
          <w:sz w:val="24"/>
          <w:szCs w:val="24"/>
        </w:rPr>
        <w:t xml:space="preserve">), PRET –nav, ATTURAS –nav,  Priekuļu novada dome </w:t>
      </w:r>
      <w:r w:rsidR="00FF3477" w:rsidRPr="002A57AD">
        <w:rPr>
          <w:rFonts w:ascii="Times New Roman" w:hAnsi="Times New Roman" w:cs="Times New Roman"/>
          <w:b/>
          <w:sz w:val="24"/>
          <w:szCs w:val="24"/>
        </w:rPr>
        <w:t>nolemj</w:t>
      </w:r>
      <w:r w:rsidR="00FF3477" w:rsidRPr="002A57AD">
        <w:rPr>
          <w:rFonts w:ascii="Times New Roman" w:hAnsi="Times New Roman" w:cs="Times New Roman"/>
          <w:sz w:val="24"/>
          <w:szCs w:val="24"/>
        </w:rPr>
        <w:t xml:space="preserve">: </w:t>
      </w:r>
    </w:p>
    <w:bookmarkEnd w:id="0"/>
    <w:p w:rsidR="006C0555" w:rsidRDefault="00DF1739" w:rsidP="00DF1739">
      <w:pPr>
        <w:numPr>
          <w:ilvl w:val="0"/>
          <w:numId w:val="1"/>
        </w:numPr>
        <w:pBdr>
          <w:top w:val="nil"/>
          <w:left w:val="nil"/>
          <w:bottom w:val="nil"/>
          <w:right w:val="nil"/>
          <w:between w:val="nil"/>
        </w:pBdr>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Apstiprināt 2019.gada 13.novembrī  notikušās izsoles rezultātu par Priekuļu novada pašvaldībai piederošā nekustamā īpašuma “Tehnikums-Lāčplēša iela”, Priekuļu pagasts, Priekuļu novads,  pārdošanu </w:t>
      </w:r>
      <w:r w:rsidR="009D5D69">
        <w:rPr>
          <w:rFonts w:ascii="Times New Roman" w:eastAsia="Times New Roman" w:hAnsi="Times New Roman" w:cs="Times New Roman"/>
          <w:color w:val="000000"/>
          <w:sz w:val="24"/>
          <w:szCs w:val="24"/>
        </w:rPr>
        <w:t>Vārds Uzvārds</w:t>
      </w:r>
      <w:r>
        <w:rPr>
          <w:rFonts w:ascii="Times New Roman" w:eastAsia="Times New Roman" w:hAnsi="Times New Roman" w:cs="Times New Roman"/>
          <w:color w:val="000000"/>
          <w:sz w:val="24"/>
          <w:szCs w:val="24"/>
        </w:rPr>
        <w:t xml:space="preserve"> par viņa nosolīto maksu  EUR 11500,00 (vienpadsmit tūkstoši pieci simti eiro un 00 centi).</w:t>
      </w:r>
    </w:p>
    <w:p w:rsidR="006C0555" w:rsidRDefault="00DF1739" w:rsidP="00DF1739">
      <w:pPr>
        <w:numPr>
          <w:ilvl w:val="0"/>
          <w:numId w:val="1"/>
        </w:numPr>
        <w:pBdr>
          <w:top w:val="nil"/>
          <w:left w:val="nil"/>
          <w:bottom w:val="nil"/>
          <w:right w:val="nil"/>
          <w:between w:val="nil"/>
        </w:pBdr>
        <w:ind w:right="-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Lēmumu nosūtīt </w:t>
      </w:r>
      <w:r w:rsidR="009D5D69">
        <w:rPr>
          <w:rFonts w:ascii="Times New Roman" w:eastAsia="Times New Roman" w:hAnsi="Times New Roman" w:cs="Times New Roman"/>
          <w:color w:val="000000"/>
          <w:sz w:val="24"/>
          <w:szCs w:val="24"/>
        </w:rPr>
        <w:t>Vārds Uzvārds</w:t>
      </w:r>
      <w:r>
        <w:rPr>
          <w:rFonts w:ascii="Times New Roman" w:eastAsia="Times New Roman" w:hAnsi="Times New Roman" w:cs="Times New Roman"/>
          <w:color w:val="000000"/>
          <w:sz w:val="24"/>
          <w:szCs w:val="24"/>
        </w:rPr>
        <w:t xml:space="preserve"> uz e-pasta adresi </w:t>
      </w:r>
      <w:r w:rsidR="009D5D6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rsidR="00FF3477" w:rsidRDefault="00FF3477" w:rsidP="00FF3477">
      <w:pPr>
        <w:pBdr>
          <w:top w:val="nil"/>
          <w:left w:val="nil"/>
          <w:bottom w:val="nil"/>
          <w:right w:val="nil"/>
          <w:between w:val="nil"/>
        </w:pBdr>
        <w:spacing w:line="276" w:lineRule="auto"/>
        <w:ind w:right="-2" w:firstLine="720"/>
        <w:jc w:val="both"/>
        <w:rPr>
          <w:rFonts w:ascii="Times New Roman" w:eastAsia="Times New Roman" w:hAnsi="Times New Roman" w:cs="Times New Roman"/>
          <w:i/>
          <w:color w:val="000000"/>
          <w:sz w:val="22"/>
          <w:szCs w:val="22"/>
        </w:rPr>
      </w:pPr>
    </w:p>
    <w:p w:rsidR="00FF3477" w:rsidRDefault="00DF1739" w:rsidP="00FF3477">
      <w:pPr>
        <w:pBdr>
          <w:top w:val="nil"/>
          <w:left w:val="nil"/>
          <w:bottom w:val="nil"/>
          <w:right w:val="nil"/>
          <w:between w:val="nil"/>
        </w:pBdr>
        <w:spacing w:line="276" w:lineRule="auto"/>
        <w:ind w:right="-2" w:firstLine="72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Šo lēmumu var pārsūdzēt viena mēneša laikā no tā spēkā stāšanās dienas Administratīvās rajona tiesas attiecīgajā tiesu namā pēc pieteicēja adreses (fiziska persona- pēc deklarētās dzīvesvietas vai nekustamā īpašuma atrašanās vietas, juridiska persona- pēc juridiskās adreses vietas).</w:t>
      </w:r>
    </w:p>
    <w:p w:rsidR="006C0555" w:rsidRDefault="00DF1739" w:rsidP="00FF3477">
      <w:pPr>
        <w:pBdr>
          <w:top w:val="nil"/>
          <w:left w:val="nil"/>
          <w:bottom w:val="nil"/>
          <w:right w:val="nil"/>
          <w:between w:val="nil"/>
        </w:pBdr>
        <w:spacing w:line="276" w:lineRule="auto"/>
        <w:ind w:right="-2" w:firstLine="720"/>
        <w:jc w:val="both"/>
        <w:rPr>
          <w:rFonts w:ascii="Times New Roman" w:eastAsia="Times New Roman" w:hAnsi="Times New Roman" w:cs="Times New Roman"/>
          <w:i/>
          <w:color w:val="000000"/>
          <w:sz w:val="22"/>
          <w:szCs w:val="22"/>
        </w:rPr>
      </w:pPr>
      <w:r>
        <w:rPr>
          <w:rFonts w:ascii="Times New Roman" w:eastAsia="Times New Roman" w:hAnsi="Times New Roman" w:cs="Times New Roman"/>
          <w:i/>
          <w:color w:val="000000"/>
          <w:sz w:val="22"/>
          <w:szCs w:val="22"/>
        </w:rPr>
        <w:t xml:space="preserve"> Saskaņā ar Administratīvā procesa 70.panta pirmo un otro daļu, lēmums stājas spēkā ar brīdi, kad tas paziņots adresātam, sūtot pa pastu – septītajā dienā pēc tā nodošanas pastā.</w:t>
      </w:r>
    </w:p>
    <w:p w:rsidR="00FF3477" w:rsidRDefault="00FF3477" w:rsidP="00FF3477">
      <w:pPr>
        <w:pBdr>
          <w:top w:val="nil"/>
          <w:left w:val="nil"/>
          <w:bottom w:val="nil"/>
          <w:right w:val="nil"/>
          <w:between w:val="nil"/>
        </w:pBdr>
        <w:spacing w:line="276" w:lineRule="auto"/>
        <w:ind w:right="-2" w:firstLine="720"/>
        <w:jc w:val="both"/>
        <w:rPr>
          <w:rFonts w:ascii="Times New Roman" w:eastAsia="Times New Roman" w:hAnsi="Times New Roman" w:cs="Times New Roman"/>
          <w:i/>
          <w:color w:val="000000"/>
          <w:sz w:val="22"/>
          <w:szCs w:val="22"/>
        </w:rPr>
      </w:pPr>
    </w:p>
    <w:p w:rsidR="00FF3477" w:rsidRDefault="00FF3477" w:rsidP="00FF3477">
      <w:pPr>
        <w:pBdr>
          <w:top w:val="nil"/>
          <w:left w:val="nil"/>
          <w:bottom w:val="nil"/>
          <w:right w:val="nil"/>
          <w:between w:val="nil"/>
        </w:pBdr>
        <w:spacing w:line="276" w:lineRule="auto"/>
        <w:ind w:right="-2" w:firstLine="720"/>
        <w:jc w:val="both"/>
        <w:rPr>
          <w:rFonts w:ascii="Times New Roman" w:eastAsia="Times New Roman" w:hAnsi="Times New Roman" w:cs="Times New Roman"/>
          <w:color w:val="000000"/>
          <w:sz w:val="22"/>
          <w:szCs w:val="22"/>
        </w:rPr>
      </w:pPr>
    </w:p>
    <w:p w:rsidR="006C0555" w:rsidRDefault="009D5D69" w:rsidP="009D5D69">
      <w:pPr>
        <w:rPr>
          <w:rFonts w:ascii="Times New Roman" w:eastAsia="Times New Roman" w:hAnsi="Times New Roman" w:cs="Times New Roman"/>
          <w:color w:val="000000"/>
          <w:sz w:val="24"/>
          <w:szCs w:val="24"/>
        </w:rPr>
      </w:pPr>
      <w:bookmarkStart w:id="1" w:name="_Hlk9499114"/>
      <w:bookmarkStart w:id="2" w:name="_Hlk7159690"/>
      <w:r w:rsidRPr="009D5D69">
        <w:rPr>
          <w:rFonts w:ascii="Times New Roman" w:eastAsia="Times New Roman" w:hAnsi="Times New Roman" w:cs="Times New Roman"/>
          <w:sz w:val="24"/>
          <w:szCs w:val="24"/>
        </w:rPr>
        <w:t>Domes priekšsēdētāja</w:t>
      </w:r>
      <w:r w:rsidRPr="009D5D69">
        <w:rPr>
          <w:rFonts w:ascii="Times New Roman" w:eastAsia="Times New Roman" w:hAnsi="Times New Roman" w:cs="Times New Roman"/>
          <w:sz w:val="24"/>
          <w:szCs w:val="24"/>
        </w:rPr>
        <w:tab/>
      </w:r>
      <w:r w:rsidRPr="009D5D69">
        <w:rPr>
          <w:rFonts w:ascii="Times New Roman" w:eastAsia="Times New Roman" w:hAnsi="Times New Roman" w:cs="Times New Roman"/>
          <w:sz w:val="24"/>
          <w:szCs w:val="24"/>
        </w:rPr>
        <w:tab/>
        <w:t>(paraksts)</w:t>
      </w:r>
      <w:r w:rsidRPr="009D5D69">
        <w:rPr>
          <w:rFonts w:ascii="Times New Roman" w:eastAsia="Times New Roman" w:hAnsi="Times New Roman" w:cs="Times New Roman"/>
          <w:sz w:val="24"/>
          <w:szCs w:val="24"/>
        </w:rPr>
        <w:tab/>
      </w:r>
      <w:r w:rsidRPr="009D5D69">
        <w:rPr>
          <w:rFonts w:ascii="Times New Roman" w:eastAsia="Times New Roman" w:hAnsi="Times New Roman" w:cs="Times New Roman"/>
          <w:sz w:val="24"/>
          <w:szCs w:val="24"/>
        </w:rPr>
        <w:tab/>
      </w:r>
      <w:r w:rsidRPr="009D5D69">
        <w:rPr>
          <w:rFonts w:ascii="Times New Roman" w:eastAsia="Times New Roman" w:hAnsi="Times New Roman" w:cs="Times New Roman"/>
          <w:sz w:val="24"/>
          <w:szCs w:val="24"/>
        </w:rPr>
        <w:tab/>
      </w:r>
      <w:r w:rsidRPr="009D5D69">
        <w:rPr>
          <w:rFonts w:ascii="Times New Roman" w:eastAsia="Times New Roman" w:hAnsi="Times New Roman" w:cs="Times New Roman"/>
          <w:sz w:val="24"/>
          <w:szCs w:val="24"/>
        </w:rPr>
        <w:tab/>
      </w:r>
      <w:r w:rsidRPr="009D5D69">
        <w:rPr>
          <w:rFonts w:ascii="Times New Roman" w:eastAsia="Times New Roman" w:hAnsi="Times New Roman" w:cs="Times New Roman"/>
          <w:sz w:val="24"/>
          <w:szCs w:val="24"/>
        </w:rPr>
        <w:tab/>
        <w:t xml:space="preserve">Elīna </w:t>
      </w:r>
      <w:proofErr w:type="spellStart"/>
      <w:r w:rsidRPr="009D5D69">
        <w:rPr>
          <w:rFonts w:ascii="Times New Roman" w:eastAsia="Times New Roman" w:hAnsi="Times New Roman" w:cs="Times New Roman"/>
          <w:sz w:val="24"/>
          <w:szCs w:val="24"/>
        </w:rPr>
        <w:t>Stapulone</w:t>
      </w:r>
      <w:bookmarkStart w:id="3" w:name="_GoBack"/>
      <w:bookmarkEnd w:id="1"/>
      <w:bookmarkEnd w:id="2"/>
      <w:bookmarkEnd w:id="3"/>
      <w:proofErr w:type="spellEnd"/>
    </w:p>
    <w:sectPr w:rsidR="006C0555" w:rsidSect="00FF3477">
      <w:pgSz w:w="11906" w:h="16838"/>
      <w:pgMar w:top="426" w:right="851" w:bottom="1134" w:left="1418" w:header="708" w:footer="708" w:gutter="0"/>
      <w:pgNumType w:start="1"/>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940816"/>
    <w:multiLevelType w:val="multilevel"/>
    <w:tmpl w:val="B1B614E8"/>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555"/>
    <w:rsid w:val="006C0555"/>
    <w:rsid w:val="009D5D69"/>
    <w:rsid w:val="00DF1739"/>
    <w:rsid w:val="00FF34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13376"/>
  <w15:docId w15:val="{BDEC6D1A-75D6-4233-A417-D2BD9532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2158</Words>
  <Characters>1231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Sekretare</dc:creator>
  <cp:lastModifiedBy>Sekretare</cp:lastModifiedBy>
  <cp:revision>3</cp:revision>
  <cp:lastPrinted>2019-11-23T14:29:00Z</cp:lastPrinted>
  <dcterms:created xsi:type="dcterms:W3CDTF">2019-11-29T08:48:00Z</dcterms:created>
  <dcterms:modified xsi:type="dcterms:W3CDTF">2019-12-02T15:23:00Z</dcterms:modified>
</cp:coreProperties>
</file>