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F933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BF4252B" wp14:editId="2042A7DB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D253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7A587D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4599DE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D0B4304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A05094A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7B114306" w14:textId="77777777" w:rsidR="002E5A7F" w:rsidRPr="00F76ABA" w:rsidRDefault="002E5A7F" w:rsidP="002E5A7F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604545C6" w14:textId="77777777" w:rsidR="002E5A7F" w:rsidRPr="00F76ABA" w:rsidRDefault="002E5A7F" w:rsidP="002E5A7F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0033BA06" w14:textId="2F1C4145" w:rsidR="00FF5986" w:rsidRPr="00F07175" w:rsidRDefault="00FF5986" w:rsidP="00FF5986">
      <w:pPr>
        <w:autoSpaceDN w:val="0"/>
        <w:jc w:val="both"/>
        <w:rPr>
          <w:bCs/>
          <w:iCs/>
        </w:rPr>
      </w:pPr>
      <w:bookmarkStart w:id="0" w:name="_Hlk31043150"/>
      <w:bookmarkStart w:id="1" w:name="_Hlk33610634"/>
      <w:r w:rsidRPr="00F07175">
        <w:rPr>
          <w:bCs/>
          <w:iCs/>
        </w:rPr>
        <w:t>2</w:t>
      </w:r>
      <w:bookmarkStart w:id="2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Nr.</w:t>
      </w:r>
      <w:r>
        <w:rPr>
          <w:bCs/>
          <w:iCs/>
        </w:rPr>
        <w:t>300</w:t>
      </w:r>
    </w:p>
    <w:p w14:paraId="5B7417B9" w14:textId="433DA629" w:rsidR="00FF5986" w:rsidRPr="00F07175" w:rsidRDefault="00FF5986" w:rsidP="00FF5986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36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14:paraId="0FBF001C" w14:textId="77777777" w:rsidR="00FF5986" w:rsidRDefault="00FF5986" w:rsidP="00FF5986">
      <w:bookmarkStart w:id="3" w:name="_Hlk22989632"/>
      <w:bookmarkEnd w:id="0"/>
      <w:bookmarkEnd w:id="2"/>
    </w:p>
    <w:p w14:paraId="0B786350" w14:textId="70110C2C" w:rsidR="002E5A7F" w:rsidRDefault="00FF5986" w:rsidP="00EE6DD6">
      <w:pPr>
        <w:ind w:right="45"/>
        <w:jc w:val="center"/>
        <w:rPr>
          <w:b/>
          <w:lang w:eastAsia="ar-SA"/>
        </w:rPr>
      </w:pPr>
      <w:bookmarkStart w:id="4" w:name="_Hlk42248640"/>
      <w:bookmarkEnd w:id="1"/>
      <w:bookmarkEnd w:id="3"/>
      <w:r w:rsidRPr="00B51D44">
        <w:rPr>
          <w:b/>
          <w:u w:val="single"/>
        </w:rPr>
        <w:t>Par Priekuļu novada pašvaldības 20</w:t>
      </w:r>
      <w:r>
        <w:rPr>
          <w:b/>
          <w:u w:val="single"/>
        </w:rPr>
        <w:t>20</w:t>
      </w:r>
      <w:r w:rsidRPr="00B51D44">
        <w:rPr>
          <w:b/>
          <w:u w:val="single"/>
        </w:rPr>
        <w:t xml:space="preserve">.gada </w:t>
      </w:r>
      <w:r>
        <w:rPr>
          <w:b/>
          <w:u w:val="single"/>
        </w:rPr>
        <w:t>25.janvāra</w:t>
      </w:r>
      <w:r w:rsidRPr="00B51D44">
        <w:rPr>
          <w:b/>
          <w:u w:val="single"/>
        </w:rPr>
        <w:t xml:space="preserve"> Saistošo noteikumu Nr.</w:t>
      </w:r>
      <w:r>
        <w:rPr>
          <w:b/>
          <w:u w:val="single"/>
        </w:rPr>
        <w:t>9</w:t>
      </w:r>
      <w:r w:rsidRPr="00B51D44">
        <w:rPr>
          <w:b/>
          <w:u w:val="single"/>
        </w:rPr>
        <w:t xml:space="preserve"> </w:t>
      </w:r>
      <w:r>
        <w:rPr>
          <w:b/>
          <w:u w:val="single"/>
        </w:rPr>
        <w:t>“</w:t>
      </w:r>
      <w:r w:rsidR="00EE6DD6">
        <w:rPr>
          <w:b/>
          <w:bCs/>
          <w:u w:val="single"/>
        </w:rPr>
        <w:t xml:space="preserve">Grozījumi </w:t>
      </w:r>
      <w:bookmarkStart w:id="5" w:name="_Hlk42249520"/>
      <w:r w:rsidR="00EE6DD6">
        <w:rPr>
          <w:b/>
          <w:bCs/>
          <w:u w:val="single"/>
        </w:rPr>
        <w:t>Priekuļu novada pašvaldības 2019. gada 23. maija saistošajos noteikumos Nr. 2019/8</w:t>
      </w:r>
      <w:r w:rsidR="00EE6DD6" w:rsidRPr="00EE6DD6">
        <w:rPr>
          <w:b/>
          <w:bCs/>
          <w:u w:val="single"/>
        </w:rPr>
        <w:t xml:space="preserve">  “Decentralizēto kanalizācijas pakalpojumu sniegšanas un uzskaites</w:t>
      </w:r>
      <w:r w:rsidR="00EE6DD6">
        <w:rPr>
          <w:b/>
          <w:bCs/>
          <w:u w:val="single"/>
        </w:rPr>
        <w:t xml:space="preserve"> </w:t>
      </w:r>
      <w:r w:rsidR="00EE6DD6" w:rsidRPr="00EE6DD6">
        <w:rPr>
          <w:b/>
          <w:bCs/>
          <w:u w:val="single"/>
        </w:rPr>
        <w:t>kārtība Priekuļu novadā”</w:t>
      </w:r>
      <w:bookmarkEnd w:id="5"/>
      <w:r>
        <w:rPr>
          <w:b/>
          <w:bCs/>
          <w:u w:val="single"/>
        </w:rPr>
        <w:t>” izdošanu</w:t>
      </w:r>
    </w:p>
    <w:bookmarkEnd w:id="4"/>
    <w:p w14:paraId="2486BD7F" w14:textId="77777777" w:rsidR="002E5A7F" w:rsidRDefault="002E5A7F" w:rsidP="002E5A7F">
      <w:pPr>
        <w:ind w:left="142"/>
        <w:rPr>
          <w:bCs/>
        </w:rPr>
      </w:pPr>
    </w:p>
    <w:p w14:paraId="31626136" w14:textId="2638332E" w:rsidR="00FF5986" w:rsidRPr="00AD0BDE" w:rsidRDefault="008532FD" w:rsidP="00FF5986">
      <w:pPr>
        <w:ind w:firstLine="424"/>
        <w:jc w:val="both"/>
      </w:pPr>
      <w:r w:rsidRPr="00B137FA">
        <w:rPr>
          <w:lang w:eastAsia="ar-SA"/>
        </w:rPr>
        <w:t>Pamatojoties uz likuma „Par pašvaldībām” 15.panta pirmās daļas 1.punktu, kas noteic, ka pašvaldības autonomā funkcija ir organizēt iedzīvotājiem komunālos pakalpojumus (ūdensapgāde un kanalizācija</w:t>
      </w:r>
      <w:r>
        <w:rPr>
          <w:lang w:eastAsia="ar-SA"/>
        </w:rPr>
        <w:t xml:space="preserve"> […] </w:t>
      </w:r>
      <w:r w:rsidRPr="00B137FA">
        <w:rPr>
          <w:lang w:eastAsia="ar-SA"/>
        </w:rPr>
        <w:t xml:space="preserve">notekūdeņu savākšana, novadīšana un attīrīšana) neatkarīgi no tā, kā īpašumā atrodas dzīvojamais fonds, </w:t>
      </w:r>
      <w:r w:rsidRPr="00B137FA">
        <w:t>Ūdenssaimniecības pakalpojumu likuma 6.panta ceturt</w:t>
      </w:r>
      <w:r>
        <w:t>o</w:t>
      </w:r>
      <w:r w:rsidRPr="00B137FA">
        <w:t xml:space="preserve"> daļ</w:t>
      </w:r>
      <w:r>
        <w:t>u</w:t>
      </w:r>
      <w:r w:rsidRPr="00B137FA">
        <w:t xml:space="preserve"> </w:t>
      </w:r>
      <w:r>
        <w:t>un piekto daļu, Administratīvās atbildības likuma</w:t>
      </w:r>
      <w:r w:rsidRPr="00B137FA">
        <w:t xml:space="preserve"> </w:t>
      </w:r>
      <w:r>
        <w:t xml:space="preserve">16. panta pirmo un septīto daļu un </w:t>
      </w:r>
      <w:r w:rsidRPr="00B137FA">
        <w:t>Priekuļu novada domes Tautsaimniecības komitejas 20</w:t>
      </w:r>
      <w:r>
        <w:t>20</w:t>
      </w:r>
      <w:r w:rsidRPr="00B137FA">
        <w:t>.gada</w:t>
      </w:r>
      <w:r w:rsidRPr="00B137FA">
        <w:rPr>
          <w:color w:val="FF0000"/>
        </w:rPr>
        <w:t xml:space="preserve"> </w:t>
      </w:r>
      <w:r w:rsidRPr="00B37D0B">
        <w:t xml:space="preserve">18. </w:t>
      </w:r>
      <w:r>
        <w:t>jūnija</w:t>
      </w:r>
      <w:r w:rsidRPr="00B137FA">
        <w:t xml:space="preserve"> atzinumu (protokols </w:t>
      </w:r>
      <w:r w:rsidRPr="00AD0BDE">
        <w:t>Nr.</w:t>
      </w:r>
      <w:r w:rsidR="00FF5986" w:rsidRPr="00AD0BDE">
        <w:t>6</w:t>
      </w:r>
      <w:r w:rsidRPr="00AD0BDE">
        <w:t xml:space="preserve">), </w:t>
      </w:r>
      <w:bookmarkStart w:id="6" w:name="_Hlk7170157"/>
      <w:r w:rsidR="00FF5986" w:rsidRPr="00AD0BDE">
        <w:t xml:space="preserve">atklāti balsojot: PAR –13 (Elīna Stapulone, Aivars Tīdemanis, Elīna Krieviņa, Aivars Kalnietis, Dace Kalniņa, Juris </w:t>
      </w:r>
      <w:proofErr w:type="spellStart"/>
      <w:r w:rsidR="00FF5986" w:rsidRPr="00AD0BDE">
        <w:t>Sukaruks</w:t>
      </w:r>
      <w:proofErr w:type="spellEnd"/>
      <w:r w:rsidR="00FF5986" w:rsidRPr="00AD0BDE">
        <w:t xml:space="preserve">,  Arnis Melbārdis, Jānis </w:t>
      </w:r>
      <w:proofErr w:type="spellStart"/>
      <w:r w:rsidR="00FF5986" w:rsidRPr="00AD0BDE">
        <w:t>Ročāns</w:t>
      </w:r>
      <w:proofErr w:type="spellEnd"/>
      <w:r w:rsidR="00FF5986" w:rsidRPr="00AD0BDE">
        <w:t xml:space="preserve">, Jānis Mičulis,  Baiba Karlsberga, Mārīte Raudziņa, Normunds Kažoks, Ināra Roce), PRET –nav, ATTURAS –nav, Priekuļu novada dome </w:t>
      </w:r>
      <w:r w:rsidR="00FF5986" w:rsidRPr="00AD0BDE">
        <w:rPr>
          <w:b/>
        </w:rPr>
        <w:t>nolemj</w:t>
      </w:r>
      <w:r w:rsidR="00FF5986" w:rsidRPr="00AD0BDE">
        <w:t>:</w:t>
      </w:r>
    </w:p>
    <w:bookmarkEnd w:id="6"/>
    <w:p w14:paraId="4F70CBE6" w14:textId="77777777" w:rsidR="00FF5986" w:rsidRPr="00AD0BDE" w:rsidRDefault="00FF5986" w:rsidP="008532FD">
      <w:pPr>
        <w:ind w:firstLine="424"/>
        <w:jc w:val="both"/>
        <w:rPr>
          <w:b/>
        </w:rPr>
      </w:pPr>
    </w:p>
    <w:p w14:paraId="24A0D302" w14:textId="3BE24F36" w:rsidR="008532FD" w:rsidRDefault="008532FD" w:rsidP="008532FD">
      <w:pPr>
        <w:pStyle w:val="Sarakstarindkopa"/>
        <w:numPr>
          <w:ilvl w:val="0"/>
          <w:numId w:val="10"/>
        </w:numPr>
        <w:jc w:val="both"/>
      </w:pPr>
      <w:r w:rsidRPr="00AD0BDE">
        <w:rPr>
          <w:rFonts w:eastAsia="Calibri"/>
          <w:lang w:eastAsia="ar-SA"/>
        </w:rPr>
        <w:t xml:space="preserve">Izdot Priekuļu novada pašvaldības saistošos noteikumus </w:t>
      </w:r>
      <w:r w:rsidRPr="00AD0BDE">
        <w:t>Nr. </w:t>
      </w:r>
      <w:r w:rsidR="00FF5986" w:rsidRPr="00AD0BDE">
        <w:t>9</w:t>
      </w:r>
      <w:r w:rsidRPr="00AD0BDE">
        <w:t xml:space="preserve"> “Grozījumi Priekuļu novada pašvaldības 2019. gada 23. maija saistošajos noteikumos Nr. 2019</w:t>
      </w:r>
      <w:r w:rsidRPr="008532FD">
        <w:t>/8  “Decentralizēto kanalizācijas pakalpojumu sniegšanas un uzskaites kārtība Priekuļu novadā”</w:t>
      </w:r>
      <w:r w:rsidRPr="00C35160">
        <w:t>.</w:t>
      </w:r>
    </w:p>
    <w:p w14:paraId="48CBB6F0" w14:textId="77777777" w:rsidR="008532FD" w:rsidRPr="00C35160" w:rsidRDefault="008532FD" w:rsidP="008532FD">
      <w:pPr>
        <w:pStyle w:val="Sarakstarindkopa"/>
        <w:numPr>
          <w:ilvl w:val="0"/>
          <w:numId w:val="10"/>
        </w:numPr>
        <w:jc w:val="both"/>
      </w:pPr>
      <w:r w:rsidRPr="00C35160">
        <w:t xml:space="preserve">Uzdot Priekuļu novada pašvaldības Administratīvai nodaļai: </w:t>
      </w:r>
    </w:p>
    <w:p w14:paraId="4A35EC67" w14:textId="77777777" w:rsidR="008532FD" w:rsidRPr="00C35160" w:rsidRDefault="008532FD" w:rsidP="008532FD">
      <w:pPr>
        <w:pStyle w:val="Sarakstarindkopa"/>
        <w:numPr>
          <w:ilvl w:val="1"/>
          <w:numId w:val="10"/>
        </w:numPr>
        <w:jc w:val="both"/>
      </w:pPr>
      <w:r w:rsidRPr="00C35160">
        <w:t>Nosūtīt Noteikumus un paskaidrojuma raksta trīs darba dienu laikā pēc parakstīšanas Vides aizsardzības un reģionālās attīstības ministrijai atzinuma sniegšanai;</w:t>
      </w:r>
    </w:p>
    <w:p w14:paraId="11BB15BF" w14:textId="77777777" w:rsidR="008532FD" w:rsidRDefault="008532FD" w:rsidP="008532FD">
      <w:pPr>
        <w:pStyle w:val="Sarakstarindkopa"/>
        <w:numPr>
          <w:ilvl w:val="1"/>
          <w:numId w:val="10"/>
        </w:numPr>
        <w:jc w:val="both"/>
      </w:pPr>
      <w:r w:rsidRPr="00C35160">
        <w:t xml:space="preserve"> Pēc atzinuma saņemšanas Saistošos noteikumus publicēt Priekuļu novada pašvaldības informatīvajā izdevumā “Priekuļu novada vēstis’’. </w:t>
      </w:r>
    </w:p>
    <w:p w14:paraId="513DEA32" w14:textId="77777777" w:rsidR="008532FD" w:rsidRPr="00C35160" w:rsidRDefault="008532FD" w:rsidP="008532FD">
      <w:pPr>
        <w:pStyle w:val="Sarakstarindkopa"/>
        <w:numPr>
          <w:ilvl w:val="0"/>
          <w:numId w:val="10"/>
        </w:numPr>
        <w:jc w:val="both"/>
      </w:pPr>
      <w:r w:rsidRPr="00C35160">
        <w:t>Kontroli par lēmuma izpildi vei</w:t>
      </w:r>
      <w:r>
        <w:t xml:space="preserve">c </w:t>
      </w:r>
      <w:r w:rsidRPr="00C35160">
        <w:t>Priekuļu novada pašvaldības izpilddirektor</w:t>
      </w:r>
      <w:r>
        <w:t>s</w:t>
      </w:r>
      <w:r w:rsidRPr="00C35160">
        <w:t xml:space="preserve"> F. Puņeiko.  </w:t>
      </w:r>
    </w:p>
    <w:p w14:paraId="4F4E67A4" w14:textId="77777777" w:rsidR="008532FD" w:rsidRPr="00B137FA" w:rsidRDefault="008532FD" w:rsidP="008532FD">
      <w:pPr>
        <w:rPr>
          <w:lang w:eastAsia="ar-SA"/>
        </w:rPr>
      </w:pPr>
    </w:p>
    <w:p w14:paraId="0DEAD280" w14:textId="6C74F0AF" w:rsidR="008532FD" w:rsidRPr="00B137FA" w:rsidRDefault="008532FD" w:rsidP="008532FD">
      <w:pPr>
        <w:rPr>
          <w:lang w:eastAsia="ar-SA"/>
        </w:rPr>
      </w:pPr>
      <w:r w:rsidRPr="00B137FA">
        <w:rPr>
          <w:lang w:eastAsia="ar-SA"/>
        </w:rPr>
        <w:t>Pielikumā: 1)Saistošie noteikum</w:t>
      </w:r>
      <w:r>
        <w:rPr>
          <w:lang w:eastAsia="ar-SA"/>
        </w:rPr>
        <w:t>u grozījumi</w:t>
      </w:r>
      <w:r w:rsidRPr="00B137FA">
        <w:rPr>
          <w:lang w:eastAsia="ar-SA"/>
        </w:rPr>
        <w:t xml:space="preserve"> uz 1l</w:t>
      </w:r>
      <w:r w:rsidR="00FF5986">
        <w:rPr>
          <w:lang w:eastAsia="ar-SA"/>
        </w:rPr>
        <w:t>apas;</w:t>
      </w:r>
    </w:p>
    <w:p w14:paraId="049A3CC3" w14:textId="4BB68518" w:rsidR="008532FD" w:rsidRPr="00B137FA" w:rsidRDefault="008532FD" w:rsidP="008532FD">
      <w:pPr>
        <w:rPr>
          <w:lang w:eastAsia="ar-SA"/>
        </w:rPr>
      </w:pPr>
      <w:r w:rsidRPr="00B137FA">
        <w:rPr>
          <w:lang w:eastAsia="ar-SA"/>
        </w:rPr>
        <w:tab/>
        <w:t xml:space="preserve">     </w:t>
      </w:r>
      <w:r>
        <w:rPr>
          <w:lang w:eastAsia="ar-SA"/>
        </w:rPr>
        <w:t xml:space="preserve"> 2)Paskaidrojuma raksts uz 1l</w:t>
      </w:r>
      <w:r w:rsidR="00FF5986">
        <w:rPr>
          <w:lang w:eastAsia="ar-SA"/>
        </w:rPr>
        <w:t>apas</w:t>
      </w:r>
      <w:r>
        <w:rPr>
          <w:lang w:eastAsia="ar-SA"/>
        </w:rPr>
        <w:t>.</w:t>
      </w:r>
    </w:p>
    <w:p w14:paraId="55957337" w14:textId="77777777" w:rsidR="002E5A7F" w:rsidRDefault="002E5A7F" w:rsidP="00B24AD1">
      <w:pPr>
        <w:ind w:left="284" w:hanging="284"/>
        <w:jc w:val="both"/>
      </w:pPr>
    </w:p>
    <w:p w14:paraId="0B38C643" w14:textId="77777777" w:rsidR="002E5A7F" w:rsidRDefault="002E5A7F" w:rsidP="002E5A7F"/>
    <w:p w14:paraId="1336243E" w14:textId="341CC20F" w:rsidR="008532FD" w:rsidRDefault="008532FD" w:rsidP="008532FD">
      <w:pPr>
        <w:pStyle w:val="Bezatstarpm"/>
        <w:jc w:val="both"/>
        <w:rPr>
          <w:rFonts w:ascii="Times New Roman" w:hAnsi="Times New Roman"/>
          <w:lang w:eastAsia="ar-SA"/>
        </w:rPr>
      </w:pPr>
    </w:p>
    <w:p w14:paraId="44009373" w14:textId="1817F4EB" w:rsidR="00FF5986" w:rsidRDefault="00FF5986" w:rsidP="00FF5986">
      <w:bookmarkStart w:id="7" w:name="_Hlk9499114"/>
      <w:bookmarkStart w:id="8" w:name="_Hlk7159690"/>
      <w:r>
        <w:t>Domes priekšsēdētāja</w:t>
      </w:r>
      <w:r>
        <w:tab/>
      </w:r>
      <w:r>
        <w:tab/>
      </w:r>
      <w:r w:rsidR="0032592C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7"/>
    </w:p>
    <w:bookmarkEnd w:id="8"/>
    <w:p w14:paraId="746B8156" w14:textId="5B4DAC10" w:rsidR="00FF5986" w:rsidRDefault="00FF5986" w:rsidP="008532FD">
      <w:pPr>
        <w:pStyle w:val="Bezatstarpm"/>
        <w:jc w:val="both"/>
        <w:rPr>
          <w:rFonts w:ascii="Times New Roman" w:hAnsi="Times New Roman"/>
          <w:lang w:eastAsia="ar-SA"/>
        </w:rPr>
      </w:pPr>
    </w:p>
    <w:p w14:paraId="4DCECA56" w14:textId="62E3C59A" w:rsidR="00FF5986" w:rsidRDefault="00FF5986" w:rsidP="008532FD">
      <w:pPr>
        <w:pStyle w:val="Bezatstarpm"/>
        <w:jc w:val="both"/>
        <w:rPr>
          <w:rFonts w:ascii="Times New Roman" w:hAnsi="Times New Roman"/>
          <w:lang w:eastAsia="ar-SA"/>
        </w:rPr>
      </w:pPr>
    </w:p>
    <w:p w14:paraId="5720975C" w14:textId="77777777" w:rsidR="00FF5986" w:rsidRDefault="00FF5986">
      <w:pPr>
        <w:spacing w:after="200" w:line="276" w:lineRule="auto"/>
        <w:rPr>
          <w:rFonts w:eastAsia="Calibri"/>
          <w:sz w:val="22"/>
          <w:szCs w:val="22"/>
          <w:lang w:eastAsia="ar-SA"/>
        </w:rPr>
      </w:pPr>
      <w:r>
        <w:rPr>
          <w:lang w:eastAsia="ar-SA"/>
        </w:rPr>
        <w:br w:type="page"/>
      </w:r>
    </w:p>
    <w:p w14:paraId="40324091" w14:textId="185B8C46" w:rsidR="00FF5986" w:rsidRDefault="00FF5986">
      <w:pPr>
        <w:spacing w:after="200" w:line="276" w:lineRule="auto"/>
        <w:rPr>
          <w:rFonts w:eastAsia="Calibri"/>
          <w:sz w:val="22"/>
          <w:szCs w:val="22"/>
          <w:lang w:eastAsia="ar-SA"/>
        </w:rPr>
      </w:pPr>
      <w:r>
        <w:rPr>
          <w:lang w:eastAsia="ar-SA"/>
        </w:rPr>
        <w:lastRenderedPageBreak/>
        <w:br w:type="page"/>
      </w:r>
    </w:p>
    <w:p w14:paraId="137F75F6" w14:textId="77777777" w:rsidR="00031F53" w:rsidRDefault="00031F53" w:rsidP="008532FD">
      <w:pPr>
        <w:pStyle w:val="Bezatstarpm"/>
        <w:jc w:val="both"/>
        <w:rPr>
          <w:rFonts w:ascii="Times New Roman" w:hAnsi="Times New Roman"/>
          <w:lang w:eastAsia="ar-SA"/>
        </w:rPr>
      </w:pPr>
    </w:p>
    <w:p w14:paraId="3B47D007" w14:textId="77777777" w:rsidR="007B5527" w:rsidRPr="00F76ABA" w:rsidRDefault="007B5527" w:rsidP="007B5527">
      <w:pPr>
        <w:jc w:val="both"/>
        <w:rPr>
          <w:rFonts w:eastAsia="Calibri"/>
          <w:lang w:eastAsia="en-US"/>
        </w:rPr>
      </w:pPr>
    </w:p>
    <w:p w14:paraId="0542F54D" w14:textId="79301CD4" w:rsid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 w:rsidRPr="00696568">
        <w:rPr>
          <w:noProof/>
          <w:color w:val="000000"/>
        </w:rPr>
        <w:drawing>
          <wp:inline distT="0" distB="0" distL="0" distR="0" wp14:anchorId="703390B2" wp14:editId="17FA5233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4F87" w14:textId="77777777" w:rsid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69FCF5F6" w14:textId="77777777" w:rsidR="00031F53" w:rsidRDefault="00031F53" w:rsidP="00031F53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PRIEKUĻU NOVADA PAŠVALDĪBA</w:t>
      </w:r>
    </w:p>
    <w:p w14:paraId="2874CB64" w14:textId="77777777" w:rsid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23AB79D2" w14:textId="77777777" w:rsid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  <w:sz w:val="18"/>
          <w:szCs w:val="18"/>
        </w:rPr>
        <w:t xml:space="preserve"> www.priekuli.lv, tālr. 64107871, e-pasts: dome@priekulunovads.lv</w:t>
      </w:r>
    </w:p>
    <w:p w14:paraId="314D6CD2" w14:textId="77777777" w:rsidR="008532FD" w:rsidRPr="0002027F" w:rsidRDefault="008532FD" w:rsidP="008532FD">
      <w:pPr>
        <w:jc w:val="right"/>
        <w:rPr>
          <w:i/>
          <w:noProof/>
        </w:rPr>
      </w:pPr>
    </w:p>
    <w:p w14:paraId="02548F08" w14:textId="485029AC" w:rsidR="008532FD" w:rsidRPr="00FF5986" w:rsidRDefault="008532FD" w:rsidP="008532FD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FF5986">
        <w:rPr>
          <w:b/>
          <w:bCs/>
          <w:noProof/>
          <w:color w:val="000000"/>
        </w:rPr>
        <w:t>SAISTOŠIE NOTEIKUMI</w:t>
      </w:r>
      <w:r w:rsidR="00FF5986" w:rsidRPr="00FF5986">
        <w:rPr>
          <w:b/>
          <w:bCs/>
          <w:noProof/>
          <w:color w:val="000000"/>
        </w:rPr>
        <w:t xml:space="preserve"> Nr.9</w:t>
      </w:r>
    </w:p>
    <w:p w14:paraId="00FFD81D" w14:textId="77777777" w:rsidR="008532FD" w:rsidRPr="0002027F" w:rsidRDefault="008532FD" w:rsidP="008532FD">
      <w:pPr>
        <w:autoSpaceDE w:val="0"/>
        <w:autoSpaceDN w:val="0"/>
        <w:adjustRightInd w:val="0"/>
        <w:jc w:val="center"/>
        <w:rPr>
          <w:noProof/>
          <w:color w:val="000000"/>
        </w:rPr>
      </w:pPr>
      <w:r w:rsidRPr="0002027F">
        <w:rPr>
          <w:noProof/>
          <w:color w:val="000000"/>
        </w:rPr>
        <w:t>Priekuļu novadā</w:t>
      </w:r>
    </w:p>
    <w:p w14:paraId="72127879" w14:textId="77777777" w:rsidR="008532FD" w:rsidRPr="0002027F" w:rsidRDefault="008532FD" w:rsidP="008532FD">
      <w:pPr>
        <w:jc w:val="center"/>
        <w:rPr>
          <w:b/>
        </w:rPr>
      </w:pPr>
    </w:p>
    <w:p w14:paraId="4C27F5E5" w14:textId="7072D23C" w:rsidR="008532FD" w:rsidRPr="00FF5986" w:rsidRDefault="008532FD" w:rsidP="00FF5986">
      <w:pPr>
        <w:spacing w:after="60"/>
        <w:jc w:val="center"/>
        <w:outlineLvl w:val="1"/>
      </w:pPr>
      <w:r w:rsidRPr="00FF5986">
        <w:t>20</w:t>
      </w:r>
      <w:r w:rsidR="00FF5986" w:rsidRPr="00FF5986">
        <w:t>20</w:t>
      </w:r>
      <w:r w:rsidRPr="00FF5986">
        <w:t>.gada 25. jūnijā</w:t>
      </w:r>
      <w:r w:rsidRPr="00FF5986">
        <w:tab/>
      </w:r>
      <w:r w:rsidRPr="00FF5986">
        <w:tab/>
      </w:r>
      <w:r w:rsidRPr="00FF5986">
        <w:tab/>
      </w:r>
      <w:r w:rsidRPr="00FF5986">
        <w:tab/>
      </w:r>
      <w:r w:rsidRPr="00FF5986">
        <w:tab/>
      </w:r>
      <w:r w:rsidRPr="00FF5986">
        <w:tab/>
      </w:r>
      <w:r w:rsidRPr="00FF5986">
        <w:tab/>
        <w:t xml:space="preserve">              (protokols Nr.</w:t>
      </w:r>
      <w:r w:rsidR="00FF5986" w:rsidRPr="00FF5986">
        <w:t>11</w:t>
      </w:r>
      <w:r w:rsidR="00FF5986">
        <w:t>,</w:t>
      </w:r>
      <w:r w:rsidRPr="00FF5986">
        <w:t xml:space="preserve"> </w:t>
      </w:r>
      <w:r w:rsidR="00FF5986" w:rsidRPr="00FF5986">
        <w:t>36</w:t>
      </w:r>
      <w:r w:rsidRPr="00FF5986">
        <w:t>.p.)</w:t>
      </w:r>
    </w:p>
    <w:p w14:paraId="3411280F" w14:textId="77777777" w:rsidR="008532FD" w:rsidRDefault="008532FD" w:rsidP="008532FD">
      <w:pPr>
        <w:jc w:val="both"/>
      </w:pPr>
    </w:p>
    <w:p w14:paraId="40B4BD03" w14:textId="06C0721F" w:rsidR="008532FD" w:rsidRPr="00031F53" w:rsidRDefault="008532FD" w:rsidP="008532FD">
      <w:pPr>
        <w:jc w:val="center"/>
        <w:rPr>
          <w:b/>
          <w:u w:val="single"/>
        </w:rPr>
      </w:pPr>
      <w:bookmarkStart w:id="9" w:name="_Hlk42170999"/>
      <w:r w:rsidRPr="00031F53">
        <w:rPr>
          <w:b/>
          <w:u w:val="single"/>
        </w:rPr>
        <w:t>Grozījumi Priekuļu novada pašvaldības 2019. gada 23. maija saistošajos noteikumos Nr. 2019/8  “Decentralizēto kanalizācijas pakalpojumu sniegšanas un uzskaites kārtība Priekuļu novadā”</w:t>
      </w:r>
      <w:r w:rsidRPr="00031F53">
        <w:rPr>
          <w:b/>
          <w:u w:val="single"/>
        </w:rPr>
        <w:cr/>
      </w:r>
      <w:bookmarkEnd w:id="9"/>
    </w:p>
    <w:tbl>
      <w:tblPr>
        <w:tblStyle w:val="Reatabula"/>
        <w:tblW w:w="87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8532FD" w14:paraId="2DB35502" w14:textId="77777777" w:rsidTr="008532FD">
        <w:tc>
          <w:tcPr>
            <w:tcW w:w="4253" w:type="dxa"/>
          </w:tcPr>
          <w:p w14:paraId="70C3E2AB" w14:textId="77777777" w:rsidR="008532FD" w:rsidRDefault="008532FD" w:rsidP="00C44EF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4DB149EC" w14:textId="1E27D16D" w:rsidR="008532FD" w:rsidRPr="008532FD" w:rsidRDefault="008532FD" w:rsidP="00C44EF4">
            <w:pPr>
              <w:jc w:val="both"/>
              <w:rPr>
                <w:i/>
                <w:sz w:val="22"/>
                <w:szCs w:val="22"/>
              </w:rPr>
            </w:pPr>
            <w:r w:rsidRPr="008532FD">
              <w:rPr>
                <w:i/>
                <w:sz w:val="22"/>
                <w:szCs w:val="22"/>
              </w:rPr>
              <w:t>Izdoti pamatojoties uz Ūdenssaimniecības pakalpojumu likuma 6.panta ceturtās daļas 5.</w:t>
            </w:r>
            <w:r w:rsidR="001A34B7">
              <w:rPr>
                <w:i/>
                <w:sz w:val="22"/>
                <w:szCs w:val="22"/>
              </w:rPr>
              <w:t> </w:t>
            </w:r>
            <w:r w:rsidRPr="008532FD">
              <w:rPr>
                <w:i/>
                <w:sz w:val="22"/>
                <w:szCs w:val="22"/>
              </w:rPr>
              <w:t>punktu un piekto daļu un Ministru kabineta 2017.gada 27.jūnija noteikumu Nr.384 “</w:t>
            </w:r>
            <w:r w:rsidRPr="008532FD">
              <w:rPr>
                <w:bCs/>
                <w:i/>
                <w:sz w:val="22"/>
                <w:szCs w:val="22"/>
              </w:rPr>
              <w:t xml:space="preserve">Noteikumi par decentralizēto kanalizācijas sistēmu apsaimniekošanu un reģistrēšanu” 6.punktu </w:t>
            </w:r>
          </w:p>
          <w:p w14:paraId="7A230CEA" w14:textId="59B346D5" w:rsidR="008532FD" w:rsidRPr="003205D2" w:rsidRDefault="008532FD" w:rsidP="00C44EF4">
            <w:pPr>
              <w:jc w:val="both"/>
              <w:rPr>
                <w:bCs/>
                <w:i/>
                <w:iCs/>
              </w:rPr>
            </w:pPr>
          </w:p>
        </w:tc>
      </w:tr>
    </w:tbl>
    <w:p w14:paraId="53D10C0F" w14:textId="70A1438A" w:rsidR="008532FD" w:rsidRDefault="008532FD" w:rsidP="008532FD">
      <w:pPr>
        <w:pStyle w:val="Sarakstarindkopa"/>
        <w:numPr>
          <w:ilvl w:val="0"/>
          <w:numId w:val="12"/>
        </w:numPr>
        <w:jc w:val="both"/>
        <w:rPr>
          <w:bCs/>
        </w:rPr>
      </w:pPr>
      <w:r w:rsidRPr="003205D2">
        <w:rPr>
          <w:bCs/>
        </w:rPr>
        <w:t xml:space="preserve">Izdarīt </w:t>
      </w:r>
      <w:r>
        <w:rPr>
          <w:bCs/>
        </w:rPr>
        <w:t>Priekuļu novada</w:t>
      </w:r>
      <w:r w:rsidRPr="003205D2">
        <w:rPr>
          <w:bCs/>
        </w:rPr>
        <w:t xml:space="preserve"> pašvaldības 201</w:t>
      </w:r>
      <w:r>
        <w:rPr>
          <w:bCs/>
        </w:rPr>
        <w:t>9</w:t>
      </w:r>
      <w:r w:rsidRPr="003205D2">
        <w:rPr>
          <w:bCs/>
        </w:rPr>
        <w:t>.gada 2</w:t>
      </w:r>
      <w:r>
        <w:rPr>
          <w:bCs/>
        </w:rPr>
        <w:t>3</w:t>
      </w:r>
      <w:r w:rsidRPr="003205D2">
        <w:rPr>
          <w:bCs/>
        </w:rPr>
        <w:t>.</w:t>
      </w:r>
      <w:r>
        <w:rPr>
          <w:bCs/>
        </w:rPr>
        <w:t xml:space="preserve"> maija</w:t>
      </w:r>
      <w:r w:rsidRPr="003205D2">
        <w:rPr>
          <w:bCs/>
        </w:rPr>
        <w:t xml:space="preserve"> saistošajos noteikumos Nr.</w:t>
      </w:r>
      <w:r>
        <w:rPr>
          <w:bCs/>
        </w:rPr>
        <w:t xml:space="preserve">2019/8 </w:t>
      </w:r>
      <w:r w:rsidRPr="003205D2">
        <w:rPr>
          <w:bCs/>
        </w:rPr>
        <w:t>"</w:t>
      </w:r>
      <w:r w:rsidRPr="008532FD">
        <w:t xml:space="preserve"> </w:t>
      </w:r>
      <w:r w:rsidRPr="008532FD">
        <w:rPr>
          <w:bCs/>
        </w:rPr>
        <w:t xml:space="preserve">Decentralizēto kanalizācijas pakalpojumu sniegšanas un uzskaites kārtība Priekuļu novadā </w:t>
      </w:r>
      <w:r w:rsidRPr="003205D2">
        <w:rPr>
          <w:bCs/>
        </w:rPr>
        <w:t>" (</w:t>
      </w:r>
      <w:r>
        <w:rPr>
          <w:bCs/>
        </w:rPr>
        <w:t xml:space="preserve">apstiprināti 2019. gada 23. maija Priekuļu novada pašvaldības domes sēdē, protokols </w:t>
      </w:r>
      <w:r w:rsidRPr="003205D2">
        <w:rPr>
          <w:bCs/>
        </w:rPr>
        <w:t>Nr.</w:t>
      </w:r>
      <w:r>
        <w:rPr>
          <w:bCs/>
        </w:rPr>
        <w:t>5, p.12, precizēti 2019. gada 25. jūlija protokols Nr.8, 53.p.</w:t>
      </w:r>
      <w:r w:rsidRPr="003205D2">
        <w:rPr>
          <w:bCs/>
        </w:rPr>
        <w:t>)</w:t>
      </w:r>
      <w:r>
        <w:rPr>
          <w:bCs/>
        </w:rPr>
        <w:t xml:space="preserve">, </w:t>
      </w:r>
      <w:r w:rsidRPr="003205D2">
        <w:rPr>
          <w:bCs/>
        </w:rPr>
        <w:t>šādus grozījumus:</w:t>
      </w:r>
    </w:p>
    <w:p w14:paraId="15C88F97" w14:textId="77777777" w:rsidR="008532FD" w:rsidRDefault="008532FD" w:rsidP="008532FD">
      <w:pPr>
        <w:pStyle w:val="Sarakstarindkopa"/>
        <w:ind w:left="360"/>
        <w:jc w:val="both"/>
        <w:rPr>
          <w:bCs/>
        </w:rPr>
      </w:pPr>
    </w:p>
    <w:p w14:paraId="5C87AD58" w14:textId="62DBE201" w:rsidR="008532FD" w:rsidRDefault="008532FD" w:rsidP="008532FD">
      <w:pPr>
        <w:pStyle w:val="Sarakstarindkopa"/>
        <w:numPr>
          <w:ilvl w:val="1"/>
          <w:numId w:val="12"/>
        </w:numPr>
        <w:jc w:val="both"/>
        <w:rPr>
          <w:bCs/>
        </w:rPr>
      </w:pPr>
      <w:r w:rsidRPr="004F6254">
        <w:rPr>
          <w:bCs/>
        </w:rPr>
        <w:t xml:space="preserve">izteikt </w:t>
      </w:r>
      <w:r w:rsidR="00415DE4">
        <w:rPr>
          <w:bCs/>
        </w:rPr>
        <w:t>33</w:t>
      </w:r>
      <w:r w:rsidRPr="004F6254">
        <w:rPr>
          <w:bCs/>
        </w:rPr>
        <w:t>.</w:t>
      </w:r>
      <w:r>
        <w:rPr>
          <w:bCs/>
        </w:rPr>
        <w:t> </w:t>
      </w:r>
      <w:r w:rsidRPr="004F6254">
        <w:rPr>
          <w:bCs/>
        </w:rPr>
        <w:t>punktu šādā redakcijā:</w:t>
      </w:r>
    </w:p>
    <w:p w14:paraId="5C11E368" w14:textId="337770F9" w:rsidR="008532FD" w:rsidRDefault="008532FD" w:rsidP="008532FD">
      <w:pPr>
        <w:pStyle w:val="Sarakstarindkopa"/>
        <w:ind w:left="792"/>
        <w:jc w:val="both"/>
        <w:rPr>
          <w:bCs/>
        </w:rPr>
      </w:pPr>
      <w:r w:rsidRPr="00E51677">
        <w:rPr>
          <w:bCs/>
        </w:rPr>
        <w:t>"</w:t>
      </w:r>
      <w:r w:rsidR="00415DE4">
        <w:rPr>
          <w:bCs/>
        </w:rPr>
        <w:t>33</w:t>
      </w:r>
      <w:r w:rsidRPr="00E51677">
        <w:rPr>
          <w:bCs/>
        </w:rPr>
        <w:t>.</w:t>
      </w:r>
      <w:r>
        <w:rPr>
          <w:bCs/>
        </w:rPr>
        <w:t> </w:t>
      </w:r>
      <w:bookmarkStart w:id="10" w:name="_Hlk44317995"/>
      <w:bookmarkStart w:id="11" w:name="_Hlk42162951"/>
      <w:r w:rsidRPr="00E51677">
        <w:rPr>
          <w:bCs/>
        </w:rPr>
        <w:t xml:space="preserve">Noteikumu izpildi kontrolēt un veikt administratīvā pārkāpuma procesu par Noteikumu pārkāpšanu līdz administratīvā pārkāpuma lietas izskatīšanai savas kompetences robežās ir tiesīgas </w:t>
      </w:r>
      <w:r>
        <w:rPr>
          <w:bCs/>
        </w:rPr>
        <w:t>Priekuļu novada</w:t>
      </w:r>
      <w:r w:rsidRPr="00E51677">
        <w:rPr>
          <w:bCs/>
        </w:rPr>
        <w:t xml:space="preserve"> pašvaldības policijas amatpersonas</w:t>
      </w:r>
      <w:bookmarkEnd w:id="10"/>
      <w:r w:rsidRPr="00E51677">
        <w:rPr>
          <w:bCs/>
        </w:rPr>
        <w:t>.</w:t>
      </w:r>
      <w:bookmarkEnd w:id="11"/>
      <w:r w:rsidRPr="00E51677">
        <w:rPr>
          <w:bCs/>
        </w:rPr>
        <w:t>";</w:t>
      </w:r>
    </w:p>
    <w:p w14:paraId="354DEFD6" w14:textId="6FBD5D7C" w:rsidR="008532FD" w:rsidRDefault="008532FD" w:rsidP="008532FD">
      <w:pPr>
        <w:pStyle w:val="Sarakstarindkopa"/>
        <w:numPr>
          <w:ilvl w:val="1"/>
          <w:numId w:val="12"/>
        </w:numPr>
        <w:jc w:val="both"/>
        <w:rPr>
          <w:bCs/>
        </w:rPr>
      </w:pPr>
      <w:r w:rsidRPr="00E51677">
        <w:rPr>
          <w:bCs/>
        </w:rPr>
        <w:t xml:space="preserve">izteikt </w:t>
      </w:r>
      <w:r w:rsidR="00415DE4">
        <w:rPr>
          <w:bCs/>
        </w:rPr>
        <w:t>34</w:t>
      </w:r>
      <w:r w:rsidRPr="00E51677">
        <w:rPr>
          <w:bCs/>
        </w:rPr>
        <w:t>.punktu šādā redakcijā:</w:t>
      </w:r>
    </w:p>
    <w:p w14:paraId="4CD7C7E3" w14:textId="77777777" w:rsidR="00415DE4" w:rsidRDefault="00415DE4" w:rsidP="00415DE4">
      <w:pPr>
        <w:pStyle w:val="Sarakstarindkopa"/>
        <w:ind w:left="851"/>
        <w:jc w:val="both"/>
        <w:rPr>
          <w:bCs/>
        </w:rPr>
      </w:pPr>
      <w:r w:rsidRPr="00E51677">
        <w:rPr>
          <w:bCs/>
        </w:rPr>
        <w:t>"</w:t>
      </w:r>
      <w:r>
        <w:rPr>
          <w:bCs/>
        </w:rPr>
        <w:t>34</w:t>
      </w:r>
      <w:r w:rsidRPr="00E51677">
        <w:rPr>
          <w:bCs/>
        </w:rPr>
        <w:t xml:space="preserve">. </w:t>
      </w:r>
      <w:bookmarkStart w:id="12" w:name="_Hlk44318041"/>
      <w:bookmarkStart w:id="13" w:name="_Hlk42163019"/>
      <w:r w:rsidRPr="00E51677">
        <w:rPr>
          <w:bCs/>
        </w:rPr>
        <w:t>Administratīvā pārkāpuma lietu izskata Pašvaldības Administratīvā komisija</w:t>
      </w:r>
      <w:bookmarkEnd w:id="12"/>
      <w:r w:rsidRPr="00E51677">
        <w:rPr>
          <w:bCs/>
        </w:rPr>
        <w:t>.</w:t>
      </w:r>
      <w:bookmarkEnd w:id="13"/>
      <w:r w:rsidRPr="00E51677">
        <w:rPr>
          <w:bCs/>
        </w:rPr>
        <w:t>"</w:t>
      </w:r>
      <w:r>
        <w:rPr>
          <w:bCs/>
        </w:rPr>
        <w:t>;</w:t>
      </w:r>
    </w:p>
    <w:p w14:paraId="44F6C613" w14:textId="17F35313" w:rsidR="00415DE4" w:rsidRPr="00415DE4" w:rsidRDefault="00415DE4" w:rsidP="00415DE4">
      <w:pPr>
        <w:pStyle w:val="Sarakstarindkopa"/>
        <w:numPr>
          <w:ilvl w:val="1"/>
          <w:numId w:val="12"/>
        </w:numPr>
        <w:rPr>
          <w:bCs/>
        </w:rPr>
      </w:pPr>
      <w:r w:rsidRPr="00415DE4">
        <w:rPr>
          <w:bCs/>
        </w:rPr>
        <w:t>izteikt 3</w:t>
      </w:r>
      <w:r>
        <w:rPr>
          <w:bCs/>
        </w:rPr>
        <w:t>5</w:t>
      </w:r>
      <w:r w:rsidRPr="00415DE4">
        <w:rPr>
          <w:bCs/>
        </w:rPr>
        <w:t>.punktu šādā redakcijā:</w:t>
      </w:r>
    </w:p>
    <w:p w14:paraId="24D7D215" w14:textId="601CB8EF" w:rsidR="00415DE4" w:rsidRPr="00415DE4" w:rsidRDefault="00415DE4" w:rsidP="00415DE4">
      <w:pPr>
        <w:pStyle w:val="Sarakstarindkopa"/>
        <w:ind w:left="792"/>
        <w:jc w:val="both"/>
        <w:rPr>
          <w:bCs/>
        </w:rPr>
      </w:pPr>
      <w:r>
        <w:rPr>
          <w:bCs/>
        </w:rPr>
        <w:t xml:space="preserve">“35. </w:t>
      </w:r>
      <w:bookmarkStart w:id="14" w:name="_Hlk44318091"/>
      <w:r w:rsidRPr="00415DE4">
        <w:rPr>
          <w:bCs/>
        </w:rPr>
        <w:t>Par šajos noteikumos noteikto prasību neievērošanu izsaka brīdinājumu vai uzliek naudas sodu</w:t>
      </w:r>
      <w:r>
        <w:rPr>
          <w:bCs/>
        </w:rPr>
        <w:t xml:space="preserve">, </w:t>
      </w:r>
      <w:r w:rsidRPr="00415DE4">
        <w:rPr>
          <w:bCs/>
        </w:rPr>
        <w:t>fiziskām personām no divām līdz septiņdesmit naudas soda vienībām, bet juridiskām personām - no divām līdz divi</w:t>
      </w:r>
      <w:r>
        <w:rPr>
          <w:bCs/>
        </w:rPr>
        <w:t xml:space="preserve"> simti astoņdesmit </w:t>
      </w:r>
      <w:r w:rsidRPr="00415DE4">
        <w:rPr>
          <w:bCs/>
        </w:rPr>
        <w:t>naudas soda vienībām</w:t>
      </w:r>
      <w:bookmarkEnd w:id="14"/>
      <w:r w:rsidRPr="00415DE4">
        <w:rPr>
          <w:bCs/>
        </w:rPr>
        <w:t>."</w:t>
      </w:r>
      <w:r>
        <w:rPr>
          <w:bCs/>
        </w:rPr>
        <w:t>.</w:t>
      </w:r>
    </w:p>
    <w:p w14:paraId="5AB7E344" w14:textId="6D6326AD" w:rsidR="008532FD" w:rsidRPr="00C35160" w:rsidRDefault="008532FD" w:rsidP="008532FD">
      <w:pPr>
        <w:pStyle w:val="Sarakstarindkopa"/>
        <w:numPr>
          <w:ilvl w:val="0"/>
          <w:numId w:val="12"/>
        </w:numPr>
        <w:jc w:val="both"/>
        <w:rPr>
          <w:bCs/>
        </w:rPr>
      </w:pPr>
      <w:r w:rsidRPr="00E51677">
        <w:rPr>
          <w:bCs/>
        </w:rPr>
        <w:t>Saistoš</w:t>
      </w:r>
      <w:r>
        <w:rPr>
          <w:bCs/>
        </w:rPr>
        <w:t>o</w:t>
      </w:r>
      <w:r w:rsidRPr="00E51677">
        <w:rPr>
          <w:bCs/>
        </w:rPr>
        <w:t xml:space="preserve"> noteikum</w:t>
      </w:r>
      <w:r>
        <w:rPr>
          <w:bCs/>
        </w:rPr>
        <w:t xml:space="preserve">u </w:t>
      </w:r>
      <w:r w:rsidR="00415DE4">
        <w:rPr>
          <w:bCs/>
        </w:rPr>
        <w:t>33</w:t>
      </w:r>
      <w:r>
        <w:rPr>
          <w:bCs/>
        </w:rPr>
        <w:t>.</w:t>
      </w:r>
      <w:r w:rsidR="00415DE4">
        <w:rPr>
          <w:bCs/>
        </w:rPr>
        <w:t xml:space="preserve"> 34</w:t>
      </w:r>
      <w:r>
        <w:rPr>
          <w:bCs/>
        </w:rPr>
        <w:t xml:space="preserve">. un </w:t>
      </w:r>
      <w:r w:rsidR="00415DE4">
        <w:rPr>
          <w:bCs/>
        </w:rPr>
        <w:t>35</w:t>
      </w:r>
      <w:r>
        <w:rPr>
          <w:bCs/>
        </w:rPr>
        <w:t>. punkts</w:t>
      </w:r>
      <w:r w:rsidRPr="00E51677">
        <w:rPr>
          <w:bCs/>
        </w:rPr>
        <w:t xml:space="preserve"> stājas spēkā vienlaikus ar Administratīvās atbildības likumu.</w:t>
      </w:r>
    </w:p>
    <w:p w14:paraId="5B967DA5" w14:textId="77777777" w:rsidR="008532FD" w:rsidRDefault="008532FD" w:rsidP="008532FD">
      <w:pPr>
        <w:spacing w:line="259" w:lineRule="auto"/>
      </w:pPr>
    </w:p>
    <w:p w14:paraId="4D04606D" w14:textId="772858C4" w:rsidR="007B5527" w:rsidRDefault="008532FD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D</w:t>
      </w:r>
      <w:r w:rsidRPr="00C35160">
        <w:rPr>
          <w:rFonts w:ascii="Times New Roman" w:eastAsia="Times New Roman" w:hAnsi="Times New Roman"/>
          <w:sz w:val="24"/>
          <w:szCs w:val="24"/>
          <w:lang w:eastAsia="lv-LV"/>
        </w:rPr>
        <w:t xml:space="preserve">omes priekšsēdētāja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FF59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FF59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32592C">
        <w:rPr>
          <w:rFonts w:ascii="Times New Roman" w:eastAsia="Times New Roman" w:hAnsi="Times New Roman"/>
          <w:sz w:val="24"/>
          <w:szCs w:val="24"/>
          <w:lang w:eastAsia="lv-LV"/>
        </w:rPr>
        <w:t>(paraksts)</w:t>
      </w:r>
      <w:r w:rsidR="00FF59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FF598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35160">
        <w:rPr>
          <w:rFonts w:ascii="Times New Roman" w:eastAsia="Times New Roman" w:hAnsi="Times New Roman"/>
          <w:sz w:val="24"/>
          <w:szCs w:val="24"/>
          <w:lang w:eastAsia="lv-LV"/>
        </w:rPr>
        <w:t>Elīna Stapulone</w:t>
      </w:r>
    </w:p>
    <w:p w14:paraId="307E7248" w14:textId="7DF2EF7F" w:rsidR="00031F53" w:rsidRDefault="00031F53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BDAD5F1" w14:textId="454E73AA" w:rsidR="00031F53" w:rsidRDefault="00031F53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B816FF" w14:textId="4A573776" w:rsidR="00031F53" w:rsidRDefault="00031F53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EF78967" w14:textId="495EFE99" w:rsidR="00031F53" w:rsidRDefault="00031F53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C5A06AD" w14:textId="7A3A66B2" w:rsidR="0069272C" w:rsidRDefault="0069272C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D82BC5E" w14:textId="77777777" w:rsidR="0069272C" w:rsidRDefault="0069272C">
      <w:pPr>
        <w:spacing w:after="200" w:line="276" w:lineRule="auto"/>
      </w:pPr>
      <w:r>
        <w:br w:type="page"/>
      </w:r>
    </w:p>
    <w:p w14:paraId="7C5C4119" w14:textId="78EEFFE1" w:rsidR="0069272C" w:rsidRDefault="0069272C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DB539A" w14:textId="77777777" w:rsidR="0069272C" w:rsidRDefault="0069272C">
      <w:pPr>
        <w:spacing w:after="200" w:line="276" w:lineRule="auto"/>
      </w:pPr>
      <w:r>
        <w:br w:type="page"/>
      </w:r>
    </w:p>
    <w:p w14:paraId="749450DC" w14:textId="77777777" w:rsidR="00031F53" w:rsidRDefault="00031F53" w:rsidP="008532FD">
      <w:pPr>
        <w:pStyle w:val="Bezatstarpm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F449883" w14:textId="6154F477" w:rsidR="00031F53" w:rsidRP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hanging="2"/>
        <w:jc w:val="center"/>
        <w:rPr>
          <w:color w:val="000000"/>
          <w:sz w:val="20"/>
          <w:szCs w:val="20"/>
          <w:lang w:eastAsia="ar-SA"/>
        </w:rPr>
      </w:pPr>
      <w:r w:rsidRPr="00031F53">
        <w:rPr>
          <w:noProof/>
          <w:color w:val="000000"/>
          <w:sz w:val="20"/>
          <w:szCs w:val="20"/>
          <w:lang w:eastAsia="ar-SA"/>
        </w:rPr>
        <w:drawing>
          <wp:inline distT="0" distB="0" distL="0" distR="0" wp14:anchorId="04BF058D" wp14:editId="6B6A1FDB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BAC75" w14:textId="77777777" w:rsidR="00031F53" w:rsidRP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center"/>
        <w:rPr>
          <w:color w:val="000000"/>
          <w:sz w:val="20"/>
          <w:szCs w:val="20"/>
          <w:lang w:eastAsia="ar-SA"/>
        </w:rPr>
      </w:pPr>
      <w:r w:rsidRPr="00031F53">
        <w:rPr>
          <w:color w:val="000000"/>
          <w:sz w:val="20"/>
          <w:szCs w:val="20"/>
          <w:lang w:eastAsia="ar-SA"/>
        </w:rPr>
        <w:t>LATVIJAS  REPUBLIKA</w:t>
      </w:r>
    </w:p>
    <w:p w14:paraId="703400A8" w14:textId="77777777" w:rsidR="00031F53" w:rsidRPr="00031F53" w:rsidRDefault="00031F53" w:rsidP="00031F53">
      <w:pPr>
        <w:pBdr>
          <w:top w:val="nil"/>
          <w:left w:val="nil"/>
          <w:bottom w:val="single" w:sz="12" w:space="1" w:color="000000"/>
          <w:right w:val="nil"/>
          <w:between w:val="nil"/>
        </w:pBdr>
        <w:suppressAutoHyphens/>
        <w:ind w:left="1" w:hanging="3"/>
        <w:jc w:val="center"/>
        <w:rPr>
          <w:color w:val="000000"/>
          <w:sz w:val="28"/>
          <w:szCs w:val="28"/>
          <w:lang w:eastAsia="ar-SA"/>
        </w:rPr>
      </w:pPr>
      <w:r w:rsidRPr="00031F53">
        <w:rPr>
          <w:b/>
          <w:color w:val="000000"/>
          <w:sz w:val="28"/>
          <w:szCs w:val="28"/>
          <w:lang w:eastAsia="ar-SA"/>
        </w:rPr>
        <w:t xml:space="preserve"> PRIEKUĻU NOVADA PAŠVALDĪBA</w:t>
      </w:r>
    </w:p>
    <w:p w14:paraId="160A2C7D" w14:textId="77777777" w:rsidR="00031F53" w:rsidRP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center"/>
        <w:rPr>
          <w:color w:val="000000"/>
          <w:sz w:val="18"/>
          <w:szCs w:val="18"/>
          <w:lang w:eastAsia="ar-SA"/>
        </w:rPr>
      </w:pPr>
      <w:r w:rsidRPr="00031F53">
        <w:rPr>
          <w:color w:val="000000"/>
          <w:sz w:val="18"/>
          <w:szCs w:val="18"/>
          <w:lang w:eastAsia="ar-SA"/>
        </w:rPr>
        <w:t>Reģistrācijas Nr. 90000057511, Cēsu prospekts 5, Priekuļi, Priekuļu pagasts, Priekuļu novads, LV-4126</w:t>
      </w:r>
    </w:p>
    <w:p w14:paraId="1F5969D7" w14:textId="77777777" w:rsidR="00031F53" w:rsidRPr="00031F53" w:rsidRDefault="00031F53" w:rsidP="00031F53">
      <w:pPr>
        <w:pBdr>
          <w:top w:val="nil"/>
          <w:left w:val="nil"/>
          <w:bottom w:val="nil"/>
          <w:right w:val="nil"/>
          <w:between w:val="nil"/>
        </w:pBdr>
        <w:suppressAutoHyphens/>
        <w:ind w:hanging="2"/>
        <w:jc w:val="center"/>
        <w:rPr>
          <w:color w:val="000000"/>
          <w:sz w:val="20"/>
          <w:szCs w:val="20"/>
          <w:lang w:eastAsia="ar-SA"/>
        </w:rPr>
      </w:pPr>
      <w:r w:rsidRPr="00031F53">
        <w:rPr>
          <w:color w:val="000000"/>
          <w:sz w:val="18"/>
          <w:szCs w:val="18"/>
          <w:lang w:eastAsia="ar-SA"/>
        </w:rPr>
        <w:t xml:space="preserve"> www.priekuli.lv, tālr. 64107871, e-pasts: dome@priekulunovads.lv</w:t>
      </w:r>
    </w:p>
    <w:p w14:paraId="77DE8D92" w14:textId="77777777" w:rsidR="00415DE4" w:rsidRDefault="00415DE4" w:rsidP="00415DE4">
      <w:pPr>
        <w:pStyle w:val="Bezatstarpm"/>
        <w:rPr>
          <w:rFonts w:ascii="Times New Roman" w:hAnsi="Times New Roman"/>
          <w:b/>
          <w:sz w:val="24"/>
          <w:szCs w:val="24"/>
        </w:rPr>
      </w:pPr>
    </w:p>
    <w:p w14:paraId="2FEA112D" w14:textId="64571AA8" w:rsidR="00415DE4" w:rsidRDefault="00415DE4" w:rsidP="00415DE4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02027F">
        <w:rPr>
          <w:rFonts w:ascii="Times New Roman" w:hAnsi="Times New Roman"/>
          <w:b/>
          <w:sz w:val="24"/>
          <w:szCs w:val="24"/>
        </w:rPr>
        <w:t>PASKAIDROJUMA RAKSTS</w:t>
      </w:r>
    </w:p>
    <w:p w14:paraId="25203A20" w14:textId="77777777" w:rsidR="00AD0BDE" w:rsidRPr="00AD0BDE" w:rsidRDefault="00FF5986" w:rsidP="00FF5986">
      <w:pPr>
        <w:ind w:right="-2"/>
        <w:jc w:val="center"/>
        <w:rPr>
          <w:b/>
          <w:bCs/>
          <w:color w:val="000000"/>
          <w:u w:val="single"/>
        </w:rPr>
      </w:pPr>
      <w:r w:rsidRPr="00AD0BDE">
        <w:rPr>
          <w:b/>
          <w:bCs/>
          <w:color w:val="000000"/>
          <w:u w:val="single"/>
        </w:rPr>
        <w:t xml:space="preserve">Priekuļu novada pašvaldības saistošajiem noteikumiem Nr.9 </w:t>
      </w:r>
    </w:p>
    <w:p w14:paraId="41A1BDFE" w14:textId="2C4D64C0" w:rsidR="00415DE4" w:rsidRPr="00031F53" w:rsidRDefault="00FF5986" w:rsidP="00FF5986">
      <w:pPr>
        <w:ind w:right="-2"/>
        <w:jc w:val="center"/>
        <w:rPr>
          <w:b/>
          <w:bCs/>
          <w:u w:val="single"/>
        </w:rPr>
      </w:pPr>
      <w:r w:rsidRPr="00AD0BDE">
        <w:rPr>
          <w:b/>
          <w:bCs/>
          <w:color w:val="000000"/>
          <w:u w:val="single"/>
        </w:rPr>
        <w:t>“</w:t>
      </w:r>
      <w:r w:rsidR="00AD0BDE" w:rsidRPr="00AD0BDE">
        <w:rPr>
          <w:b/>
          <w:bCs/>
          <w:color w:val="000000"/>
          <w:u w:val="single"/>
        </w:rPr>
        <w:t xml:space="preserve">Grozījumi </w:t>
      </w:r>
      <w:r w:rsidR="00415DE4" w:rsidRPr="00AD0BDE">
        <w:rPr>
          <w:b/>
          <w:bCs/>
          <w:u w:val="single"/>
        </w:rPr>
        <w:t>Prie</w:t>
      </w:r>
      <w:r w:rsidR="00415DE4" w:rsidRPr="00031F53">
        <w:rPr>
          <w:b/>
          <w:bCs/>
          <w:u w:val="single"/>
        </w:rPr>
        <w:t>kuļu novada pašvaldības 2019. gada 23. maija saistošajos noteikumos Nr. 2019/8  “Decentralizēto kanalizācijas pakalpojumu sniegšanas un uzskaites kārtība Priekuļu novadā”</w:t>
      </w:r>
      <w:r>
        <w:rPr>
          <w:b/>
          <w:bCs/>
          <w:u w:val="single"/>
        </w:rPr>
        <w:t>”</w:t>
      </w:r>
    </w:p>
    <w:p w14:paraId="35E68A1B" w14:textId="77777777" w:rsidR="00031F53" w:rsidRPr="00F619E2" w:rsidRDefault="00031F53" w:rsidP="00415DE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BEAAF" w14:textId="77777777" w:rsidR="00415DE4" w:rsidRPr="0002027F" w:rsidRDefault="00415DE4" w:rsidP="00415DE4">
      <w:pPr>
        <w:ind w:right="-766"/>
        <w:rPr>
          <w:highlight w:val="yellow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01"/>
        <w:gridCol w:w="5778"/>
      </w:tblGrid>
      <w:tr w:rsidR="009D4AD9" w:rsidRPr="009D4AD9" w14:paraId="01976793" w14:textId="77777777" w:rsidTr="000058C4">
        <w:trPr>
          <w:tblHeader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E8A45" w14:textId="77777777" w:rsidR="009D4AD9" w:rsidRPr="009D4AD9" w:rsidRDefault="009D4AD9" w:rsidP="009D4AD9">
            <w:pPr>
              <w:spacing w:line="256" w:lineRule="auto"/>
              <w:contextualSpacing/>
              <w:jc w:val="center"/>
              <w:rPr>
                <w:b/>
              </w:rPr>
            </w:pPr>
            <w:r w:rsidRPr="009D4AD9">
              <w:rPr>
                <w:b/>
              </w:rPr>
              <w:t>Paskaidrojuma raksta sadaļas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B6E67" w14:textId="77777777" w:rsidR="009D4AD9" w:rsidRPr="009D4AD9" w:rsidRDefault="009D4AD9" w:rsidP="009D4AD9">
            <w:pPr>
              <w:spacing w:line="256" w:lineRule="auto"/>
              <w:contextualSpacing/>
              <w:jc w:val="center"/>
              <w:rPr>
                <w:b/>
                <w:bCs/>
                <w:lang w:eastAsia="en-US"/>
              </w:rPr>
            </w:pPr>
            <w:r w:rsidRPr="009D4AD9">
              <w:rPr>
                <w:b/>
                <w:bCs/>
                <w:lang w:eastAsia="en-US"/>
              </w:rPr>
              <w:t>Norādāmā informācija</w:t>
            </w:r>
          </w:p>
        </w:tc>
      </w:tr>
      <w:tr w:rsidR="009D4AD9" w:rsidRPr="009D4AD9" w14:paraId="534D3FDD" w14:textId="77777777" w:rsidTr="000058C4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D1326" w14:textId="77777777" w:rsidR="009D4AD9" w:rsidRPr="009D4AD9" w:rsidRDefault="009D4AD9" w:rsidP="009D4AD9">
            <w:pPr>
              <w:spacing w:line="256" w:lineRule="auto"/>
              <w:contextualSpacing/>
              <w:rPr>
                <w:bCs/>
              </w:rPr>
            </w:pPr>
            <w:r w:rsidRPr="009D4AD9">
              <w:rPr>
                <w:bCs/>
              </w:rPr>
              <w:t>1.</w:t>
            </w:r>
            <w:r w:rsidRPr="009D4AD9">
              <w:t xml:space="preserve"> </w:t>
            </w:r>
            <w:r w:rsidRPr="009D4AD9">
              <w:rPr>
                <w:bCs/>
              </w:rPr>
              <w:t>Īss projekta satura izklāsts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45ABD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Saistošie noteikumi izdoti saskaņā ar Ūdenssaimniecības</w:t>
            </w:r>
          </w:p>
          <w:p w14:paraId="1F9A0A5F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pakalpojumu likuma 6.panta ceturto un piekto daļu</w:t>
            </w:r>
            <w:r w:rsidRPr="009D4AD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D4AD9">
              <w:rPr>
                <w:rFonts w:eastAsia="Calibri"/>
                <w:lang w:eastAsia="en-US"/>
              </w:rPr>
              <w:t>un Ministru kabineta 2017.gada 27.jūnija noteikumu Nr.384 “Noteikumi par decentralizēto kanalizācijas sistēmu apsaimniekošanu un reģistrēšanu” 6.punktu.</w:t>
            </w:r>
          </w:p>
          <w:p w14:paraId="738CAA90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Saistošo noteikumu grozījumu mērķis ir noteikt atbildību par noteikumu neievērošanu un amatpersonu kompetences</w:t>
            </w:r>
          </w:p>
          <w:p w14:paraId="76783E29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robežas, ievērojot Administratīvās atbildības likumu, kas</w:t>
            </w:r>
          </w:p>
          <w:p w14:paraId="7DF5A1CD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stāsies spēkā 2020.gada 1.jūlijā.</w:t>
            </w:r>
          </w:p>
        </w:tc>
      </w:tr>
      <w:tr w:rsidR="009D4AD9" w:rsidRPr="009D4AD9" w14:paraId="51067572" w14:textId="77777777" w:rsidTr="000058C4">
        <w:trPr>
          <w:trHeight w:val="534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7EE01" w14:textId="77777777" w:rsidR="009D4AD9" w:rsidRPr="009D4AD9" w:rsidRDefault="009D4AD9" w:rsidP="009D4AD9">
            <w:pPr>
              <w:spacing w:line="256" w:lineRule="auto"/>
              <w:ind w:left="203" w:hanging="203"/>
              <w:contextualSpacing/>
              <w:jc w:val="both"/>
              <w:rPr>
                <w:bCs/>
                <w:color w:val="000000"/>
              </w:rPr>
            </w:pPr>
            <w:r w:rsidRPr="009D4AD9">
              <w:rPr>
                <w:bCs/>
                <w:color w:val="000000"/>
              </w:rPr>
              <w:t>2.Projekta nepieciešamības pamatojums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28BB5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Saistošo noteikumu grozījumi nepieciešami saskaņā ar Administratīvās atbildības likumu, kas stāsies spēkā 2020.gada 1.jūlijā.</w:t>
            </w:r>
          </w:p>
        </w:tc>
      </w:tr>
      <w:tr w:rsidR="009D4AD9" w:rsidRPr="009D4AD9" w14:paraId="74472E20" w14:textId="77777777" w:rsidTr="000058C4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47652" w14:textId="77777777" w:rsidR="009D4AD9" w:rsidRPr="009D4AD9" w:rsidRDefault="009D4AD9" w:rsidP="009D4AD9">
            <w:pPr>
              <w:spacing w:line="256" w:lineRule="auto"/>
              <w:ind w:left="203" w:hanging="203"/>
              <w:contextualSpacing/>
              <w:jc w:val="both"/>
              <w:rPr>
                <w:bCs/>
                <w:color w:val="000000"/>
              </w:rPr>
            </w:pPr>
            <w:r w:rsidRPr="009D4AD9">
              <w:rPr>
                <w:bCs/>
                <w:color w:val="000000"/>
              </w:rPr>
              <w:t>3.Informācija par plānoto projekta ietekmi uz pašvaldības budžetu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14D0" w14:textId="77777777" w:rsidR="009D4AD9" w:rsidRPr="009D4AD9" w:rsidRDefault="009D4AD9" w:rsidP="009D4AD9">
            <w:pPr>
              <w:spacing w:line="256" w:lineRule="auto"/>
              <w:contextualSpacing/>
              <w:jc w:val="both"/>
              <w:rPr>
                <w:color w:val="000000"/>
                <w:lang w:eastAsia="en-US"/>
              </w:rPr>
            </w:pPr>
            <w:r w:rsidRPr="009D4AD9">
              <w:rPr>
                <w:bCs/>
                <w:color w:val="000000"/>
              </w:rPr>
              <w:t>Nav ietekmes</w:t>
            </w:r>
          </w:p>
        </w:tc>
      </w:tr>
      <w:tr w:rsidR="009D4AD9" w:rsidRPr="009D4AD9" w14:paraId="7052D88B" w14:textId="77777777" w:rsidTr="000058C4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1752A" w14:textId="77777777" w:rsidR="009D4AD9" w:rsidRPr="009D4AD9" w:rsidRDefault="009D4AD9" w:rsidP="009D4AD9">
            <w:pPr>
              <w:ind w:left="203" w:hanging="203"/>
              <w:contextualSpacing/>
              <w:jc w:val="both"/>
              <w:rPr>
                <w:bCs/>
                <w:color w:val="000000"/>
              </w:rPr>
            </w:pPr>
            <w:r w:rsidRPr="009D4AD9">
              <w:rPr>
                <w:bCs/>
                <w:color w:val="000000"/>
              </w:rPr>
              <w:t>4.Informācija par plānoto projekta ietekmi uz uzņēmējdarbības vidi pašvaldības teritorijā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A9B2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Nav ietekmes</w:t>
            </w:r>
          </w:p>
        </w:tc>
      </w:tr>
      <w:tr w:rsidR="009D4AD9" w:rsidRPr="009D4AD9" w14:paraId="34B339B1" w14:textId="77777777" w:rsidTr="000058C4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4641" w14:textId="77777777" w:rsidR="009D4AD9" w:rsidRPr="009D4AD9" w:rsidRDefault="009D4AD9" w:rsidP="009D4AD9">
            <w:pPr>
              <w:ind w:left="306" w:hanging="306"/>
              <w:contextualSpacing/>
              <w:rPr>
                <w:bCs/>
                <w:color w:val="000000"/>
              </w:rPr>
            </w:pPr>
            <w:r w:rsidRPr="009D4AD9">
              <w:rPr>
                <w:bCs/>
                <w:color w:val="000000"/>
              </w:rPr>
              <w:t>5. Informācija par administratīvajām procedūrām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60BE5" w14:textId="77777777" w:rsidR="009D4AD9" w:rsidRPr="009D4AD9" w:rsidRDefault="009D4AD9" w:rsidP="009D4AD9">
            <w:pPr>
              <w:spacing w:line="256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4AD9">
              <w:rPr>
                <w:rFonts w:eastAsia="Calibri"/>
                <w:lang w:eastAsia="en-US"/>
              </w:rPr>
              <w:t>Līdzšinējās procedūras netiek mainītas.</w:t>
            </w:r>
          </w:p>
        </w:tc>
      </w:tr>
      <w:tr w:rsidR="009D4AD9" w:rsidRPr="009D4AD9" w14:paraId="0C68C823" w14:textId="77777777" w:rsidTr="000058C4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90B8C" w14:textId="77777777" w:rsidR="009D4AD9" w:rsidRPr="009D4AD9" w:rsidRDefault="009D4AD9" w:rsidP="009D4AD9">
            <w:pPr>
              <w:ind w:left="203" w:hanging="203"/>
              <w:contextualSpacing/>
              <w:rPr>
                <w:bCs/>
                <w:color w:val="000000"/>
              </w:rPr>
            </w:pPr>
            <w:r w:rsidRPr="009D4AD9">
              <w:rPr>
                <w:bCs/>
                <w:color w:val="000000"/>
              </w:rPr>
              <w:t>7. Informācija par konsultācijām ar privātpersonām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CE84F" w14:textId="77777777" w:rsidR="009D4AD9" w:rsidRPr="009D4AD9" w:rsidRDefault="009D4AD9" w:rsidP="009D4AD9">
            <w:pPr>
              <w:spacing w:line="256" w:lineRule="auto"/>
              <w:ind w:left="-30"/>
              <w:contextualSpacing/>
              <w:jc w:val="both"/>
              <w:rPr>
                <w:color w:val="000000"/>
                <w:lang w:eastAsia="en-US"/>
              </w:rPr>
            </w:pPr>
            <w:r w:rsidRPr="009D4AD9">
              <w:rPr>
                <w:color w:val="000000"/>
                <w:lang w:eastAsia="en-US"/>
              </w:rPr>
              <w:t>Nav attiecināms</w:t>
            </w:r>
          </w:p>
        </w:tc>
      </w:tr>
    </w:tbl>
    <w:p w14:paraId="63F6E874" w14:textId="77777777" w:rsidR="00415DE4" w:rsidRPr="0002027F" w:rsidRDefault="00415DE4" w:rsidP="00415DE4">
      <w:pPr>
        <w:ind w:right="-766"/>
      </w:pPr>
    </w:p>
    <w:p w14:paraId="1240A2C8" w14:textId="77777777" w:rsidR="00415DE4" w:rsidRDefault="00415DE4" w:rsidP="00415DE4">
      <w:pPr>
        <w:ind w:right="-766"/>
      </w:pPr>
    </w:p>
    <w:p w14:paraId="54B187B4" w14:textId="7DFBD41D" w:rsidR="00415DE4" w:rsidRPr="0002027F" w:rsidRDefault="00415DE4" w:rsidP="00415DE4">
      <w:pPr>
        <w:ind w:right="-766"/>
      </w:pPr>
      <w:r w:rsidRPr="0002027F">
        <w:t>Domes priekšsēdētāja</w:t>
      </w:r>
      <w:r w:rsidRPr="0002027F">
        <w:tab/>
      </w:r>
      <w:r w:rsidR="00FF5986">
        <w:tab/>
      </w:r>
      <w:r w:rsidR="00FF5986">
        <w:tab/>
      </w:r>
      <w:r w:rsidR="0032592C">
        <w:t>(paraksts)</w:t>
      </w:r>
      <w:r w:rsidR="00FF5986">
        <w:tab/>
      </w:r>
      <w:r w:rsidR="00FF5986">
        <w:tab/>
      </w:r>
      <w:r w:rsidRPr="0002027F">
        <w:t xml:space="preserve">                           E</w:t>
      </w:r>
      <w:r w:rsidR="00FF5986">
        <w:t>līna</w:t>
      </w:r>
      <w:r w:rsidRPr="0002027F">
        <w:t xml:space="preserve"> Stapulone</w:t>
      </w:r>
    </w:p>
    <w:p w14:paraId="2E62A746" w14:textId="77777777" w:rsidR="00415DE4" w:rsidRPr="0002027F" w:rsidRDefault="00415DE4" w:rsidP="00415DE4">
      <w:pPr>
        <w:rPr>
          <w:b/>
          <w:bCs/>
        </w:rPr>
      </w:pPr>
    </w:p>
    <w:p w14:paraId="19B7FE86" w14:textId="77777777" w:rsidR="00415DE4" w:rsidRPr="0002027F" w:rsidRDefault="00415DE4" w:rsidP="00415DE4">
      <w:pPr>
        <w:jc w:val="center"/>
        <w:rPr>
          <w:b/>
          <w:bCs/>
        </w:rPr>
      </w:pPr>
    </w:p>
    <w:p w14:paraId="2DFD2245" w14:textId="77777777" w:rsidR="00415DE4" w:rsidRPr="00F76ABA" w:rsidRDefault="00415DE4" w:rsidP="008532FD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415DE4" w:rsidRPr="00F76ABA" w:rsidSect="00031F5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32A14"/>
    <w:multiLevelType w:val="hybridMultilevel"/>
    <w:tmpl w:val="0C267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E55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86E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03E81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5234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BD652D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C441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31F53"/>
    <w:rsid w:val="00040218"/>
    <w:rsid w:val="00043EE7"/>
    <w:rsid w:val="000663D6"/>
    <w:rsid w:val="001A0564"/>
    <w:rsid w:val="001A34B7"/>
    <w:rsid w:val="001D11CD"/>
    <w:rsid w:val="00254720"/>
    <w:rsid w:val="00287EEB"/>
    <w:rsid w:val="00294752"/>
    <w:rsid w:val="002B57AF"/>
    <w:rsid w:val="002E1A09"/>
    <w:rsid w:val="002E5A7F"/>
    <w:rsid w:val="002F5C48"/>
    <w:rsid w:val="0032592C"/>
    <w:rsid w:val="0033257C"/>
    <w:rsid w:val="003A6CDB"/>
    <w:rsid w:val="00415DE4"/>
    <w:rsid w:val="004848B4"/>
    <w:rsid w:val="004B7A09"/>
    <w:rsid w:val="004D7FBF"/>
    <w:rsid w:val="0069272C"/>
    <w:rsid w:val="0078416C"/>
    <w:rsid w:val="00791023"/>
    <w:rsid w:val="007B5527"/>
    <w:rsid w:val="008532FD"/>
    <w:rsid w:val="008555A5"/>
    <w:rsid w:val="00877725"/>
    <w:rsid w:val="008F7455"/>
    <w:rsid w:val="009463C6"/>
    <w:rsid w:val="00975BA0"/>
    <w:rsid w:val="00984F3F"/>
    <w:rsid w:val="009D4AD9"/>
    <w:rsid w:val="00A1679F"/>
    <w:rsid w:val="00A215F5"/>
    <w:rsid w:val="00AD0BDE"/>
    <w:rsid w:val="00B02296"/>
    <w:rsid w:val="00B24AD1"/>
    <w:rsid w:val="00BF64D7"/>
    <w:rsid w:val="00C22529"/>
    <w:rsid w:val="00CB472F"/>
    <w:rsid w:val="00CF6292"/>
    <w:rsid w:val="00E0781A"/>
    <w:rsid w:val="00EE6DD6"/>
    <w:rsid w:val="00F037AC"/>
    <w:rsid w:val="00F073BC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3E397"/>
  <w15:docId w15:val="{8A6184A6-1F99-4034-A5D2-74FECB25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aliases w:val="Virsraksts"/>
    <w:link w:val="BezatstarpmRakstz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link w:val="SarakstarindkopaRakstz"/>
    <w:uiPriority w:val="34"/>
    <w:qFormat/>
    <w:rsid w:val="007B552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8532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532F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8532FD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85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aliases w:val="Virsraksts Rakstz."/>
    <w:link w:val="Bezatstarpm"/>
    <w:locked/>
    <w:rsid w:val="00415DE4"/>
    <w:rPr>
      <w:rFonts w:ascii="Calibri" w:eastAsia="Calibri" w:hAnsi="Calibri" w:cs="Times New Roman"/>
    </w:rPr>
  </w:style>
  <w:style w:type="paragraph" w:customStyle="1" w:styleId="naisnod">
    <w:name w:val="naisnod"/>
    <w:basedOn w:val="Parasts"/>
    <w:semiHidden/>
    <w:rsid w:val="00415DE4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semiHidden/>
    <w:rsid w:val="00415DE4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3774</Words>
  <Characters>2152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2020-06-30T05:47:00Z</cp:lastPrinted>
  <dcterms:created xsi:type="dcterms:W3CDTF">2020-06-29T07:09:00Z</dcterms:created>
  <dcterms:modified xsi:type="dcterms:W3CDTF">2020-06-30T12:00:00Z</dcterms:modified>
</cp:coreProperties>
</file>