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4C" w:rsidRDefault="0033054C">
      <w:pPr>
        <w:widowControl w:val="0"/>
        <w:spacing w:after="120"/>
        <w:ind w:left="0" w:hanging="2"/>
        <w:jc w:val="center"/>
        <w:rPr>
          <w:rFonts w:ascii="Liberation Serif" w:eastAsia="Liberation Serif" w:hAnsi="Liberation Serif" w:cs="Liberation Serif"/>
          <w:sz w:val="24"/>
          <w:szCs w:val="24"/>
        </w:rPr>
      </w:pPr>
      <w:bookmarkStart w:id="0" w:name="_heading=h.30j0zll" w:colFirst="0" w:colLast="0"/>
      <w:bookmarkEnd w:id="0"/>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r>
      <w:r>
        <w:rPr>
          <w:rFonts w:ascii="Liberation Serif" w:eastAsia="Liberation Serif" w:hAnsi="Liberation Serif" w:cs="Liberation Serif"/>
          <w:sz w:val="24"/>
          <w:szCs w:val="24"/>
        </w:rPr>
        <w:tab/>
        <w:t xml:space="preserve">         </w:t>
      </w:r>
    </w:p>
    <w:p w:rsidR="00D57057" w:rsidRDefault="0031696E">
      <w:pPr>
        <w:widowControl w:val="0"/>
        <w:spacing w:after="120"/>
        <w:ind w:left="0" w:hanging="2"/>
        <w:jc w:val="center"/>
        <w:rPr>
          <w:rFonts w:ascii="Liberation Serif" w:eastAsia="Liberation Serif" w:hAnsi="Liberation Serif" w:cs="Liberation Serif"/>
          <w:sz w:val="24"/>
          <w:szCs w:val="24"/>
        </w:rPr>
      </w:pPr>
      <w:r>
        <w:rPr>
          <w:rFonts w:ascii="Times New Roman" w:eastAsia="Times New Roman" w:hAnsi="Times New Roman" w:cs="Times New Roman"/>
          <w:noProof/>
          <w:lang w:val="en-GB" w:eastAsia="en-GB"/>
        </w:rPr>
        <w:drawing>
          <wp:inline distT="0" distB="0" distL="114300" distR="114300">
            <wp:extent cx="581025" cy="685165"/>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rsidR="00D57057" w:rsidRDefault="0031696E">
      <w:pPr>
        <w:widowControl w:val="0"/>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REPUBLIKA</w:t>
      </w:r>
    </w:p>
    <w:p w:rsidR="00D57057" w:rsidRDefault="0031696E">
      <w:pPr>
        <w:widowControl w:val="0"/>
        <w:pBdr>
          <w:bottom w:val="single" w:sz="12" w:space="1" w:color="000000"/>
        </w:pBd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PRIEKUĻU NOVADA PAŠVALDĪBA</w:t>
      </w:r>
    </w:p>
    <w:p w:rsidR="00D57057" w:rsidRDefault="0031696E">
      <w:pPr>
        <w:widowControl w:val="0"/>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Reģistrācijas Nr. 90000057511, </w:t>
      </w:r>
      <w:proofErr w:type="spellStart"/>
      <w:r>
        <w:rPr>
          <w:rFonts w:ascii="Times New Roman" w:eastAsia="Times New Roman" w:hAnsi="Times New Roman" w:cs="Times New Roman"/>
          <w:sz w:val="18"/>
          <w:szCs w:val="18"/>
        </w:rPr>
        <w:t>Cēsu</w:t>
      </w:r>
      <w:proofErr w:type="spellEnd"/>
      <w:r>
        <w:rPr>
          <w:rFonts w:ascii="Times New Roman" w:eastAsia="Times New Roman" w:hAnsi="Times New Roman" w:cs="Times New Roman"/>
          <w:sz w:val="18"/>
          <w:szCs w:val="18"/>
        </w:rPr>
        <w:t xml:space="preserve"> prospekts 5, Priekuļi, Priekuļu pagasts, Priekuļu novads, LV-4126</w:t>
      </w:r>
    </w:p>
    <w:p w:rsidR="00D57057" w:rsidRDefault="0031696E">
      <w:pPr>
        <w:widowControl w:val="0"/>
        <w:spacing w:after="0" w:line="240" w:lineRule="auto"/>
        <w:ind w:left="0" w:hanging="2"/>
        <w:jc w:val="center"/>
        <w:rPr>
          <w:rFonts w:ascii="Liberation Serif" w:eastAsia="Liberation Serif" w:hAnsi="Liberation Serif" w:cs="Liberation Serif"/>
          <w:sz w:val="24"/>
          <w:szCs w:val="24"/>
        </w:rPr>
      </w:pPr>
      <w:r>
        <w:rPr>
          <w:rFonts w:ascii="Times New Roman" w:eastAsia="Times New Roman" w:hAnsi="Times New Roman" w:cs="Times New Roman"/>
          <w:sz w:val="18"/>
          <w:szCs w:val="18"/>
        </w:rPr>
        <w:t xml:space="preserve"> www.priekuli.lv, tālr. 64107871, e-pasts: dome@priekulunovads.lv</w:t>
      </w:r>
    </w:p>
    <w:p w:rsidR="00D57057" w:rsidRDefault="00D57057">
      <w:pPr>
        <w:widowControl w:val="0"/>
        <w:ind w:left="0" w:hanging="2"/>
        <w:jc w:val="center"/>
        <w:rPr>
          <w:rFonts w:ascii="Times New Roman" w:eastAsia="Times New Roman" w:hAnsi="Times New Roman" w:cs="Times New Roman"/>
          <w:sz w:val="24"/>
          <w:szCs w:val="24"/>
        </w:rPr>
      </w:pPr>
    </w:p>
    <w:p w:rsidR="00D57057" w:rsidRDefault="0031696E">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Lēmums</w:t>
      </w:r>
    </w:p>
    <w:p w:rsidR="00D57057" w:rsidRDefault="0031696E">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Priekuļu pagastā</w:t>
      </w:r>
    </w:p>
    <w:p w:rsidR="00D57057" w:rsidRDefault="0031696E">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2019. gada 22. augustā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Nr.341</w:t>
      </w:r>
    </w:p>
    <w:p w:rsidR="00D57057" w:rsidRDefault="0031696E">
      <w:pPr>
        <w:ind w:left="0" w:hanging="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(protokols Nr.9, 12.p)</w:t>
      </w: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rsidR="00D57057" w:rsidRDefault="003169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 pašvaldības  nekustamā īpašuma “Veselavas skola”,  Veselavas pagastā, Priekuļu novadā, izsoles  noteikumu  apstiprināšanu</w:t>
      </w:r>
    </w:p>
    <w:p w:rsidR="00D57057" w:rsidRDefault="00D5705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“Veselavas skola”, Veselavas pagastā, Priekuļu novadā,  izsoles noteikumu projektu.</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D57057" w:rsidRDefault="0031696E">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Nekustamais īpašums “Veselavas skola”,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Veselavas pagastā, Priekuļu novadā sastāv no zemes vienības ar  kadastra apzīmējumu 4294 001 0181, 17,27 ha  kopplatībā, būves - skolas ēkas ar kadastra apzīmējumu 4294 001 0181 001, kopējā platība 1331,2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būves-katlu mājas ar kadastra apzīmējumu 4294 001 0181 002, kopējā platība 155,1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un vienas nedzīvojamās ēkas - šķūņa ar kadastra apzīmējumu 4294 001 0181 003, kopējā platība 121,8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D57057" w:rsidRDefault="0031696E">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25.aprīļa sēdes lēmumu Nr.132 (protokols Nr.4, p.11.) pašvaldības nekustamais īpašums ar nosaukumu “Veselavas skola”, Veselavas pagastā, Priekuļu novadā, kadastra numurs 4294 001 0181, nodots atsavināšanai izsolē.</w:t>
      </w:r>
    </w:p>
    <w:p w:rsidR="00D57057" w:rsidRDefault="0031696E">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Pamatojoties uz likuma “Par pašvaldībām” 14.panta pirmās daļas 2.punktu, 21.panta pirmās daļas 17.punktu, un atbilstoši Publiskas personas mantas atsavināšanas likuma 10.pantam, Priekuļu novada domes Tautsaimniecības komitejas 2019.gada 15.augusta </w:t>
      </w:r>
      <w:r>
        <w:rPr>
          <w:rFonts w:ascii="Times New Roman" w:eastAsia="Times New Roman" w:hAnsi="Times New Roman" w:cs="Times New Roman"/>
          <w:sz w:val="24"/>
          <w:szCs w:val="24"/>
        </w:rPr>
        <w:t>atzinumu par lēmuma projektu (protokols Nr.9,11.p.),</w:t>
      </w:r>
      <w:r>
        <w:t xml:space="preserve"> </w:t>
      </w:r>
      <w:r>
        <w:rPr>
          <w:rFonts w:ascii="Times New Roman" w:eastAsia="Times New Roman" w:hAnsi="Times New Roman" w:cs="Times New Roman"/>
          <w:sz w:val="24"/>
          <w:szCs w:val="24"/>
        </w:rPr>
        <w:t xml:space="preserve">atklāti balsojot, PAR-14(Elīna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 xml:space="preserve">), PRET-, </w:t>
      </w:r>
      <w:r>
        <w:rPr>
          <w:rFonts w:ascii="Times New Roman" w:eastAsia="Times New Roman" w:hAnsi="Times New Roman" w:cs="Times New Roman"/>
          <w:color w:val="000000"/>
          <w:sz w:val="24"/>
          <w:szCs w:val="24"/>
        </w:rPr>
        <w:t>ATTURAS-, Priekuļu novada dome nolemj:</w:t>
      </w:r>
    </w:p>
    <w:p w:rsidR="00D57057" w:rsidRDefault="0031696E">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“Veselavas skola”,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Veselavas pagastā, Priekuļu novadā, kadastra Nr.4294 001 0181, izsoles noteikumus. </w:t>
      </w:r>
    </w:p>
    <w:p w:rsidR="00D57057" w:rsidRDefault="0031696E">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59 200,00 EUR (piecdesmit deviņi tūkstoši divi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rsidR="00D57057" w:rsidRDefault="0031696E">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rsidR="00D57057" w:rsidRDefault="00D570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 lpp.</w:t>
      </w:r>
    </w:p>
    <w:p w:rsidR="00D57057" w:rsidRDefault="00D57057">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3054C">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Elīna </w:t>
      </w:r>
      <w:proofErr w:type="spellStart"/>
      <w:r>
        <w:rPr>
          <w:rFonts w:ascii="Times New Roman" w:eastAsia="Times New Roman" w:hAnsi="Times New Roman" w:cs="Times New Roman"/>
          <w:sz w:val="24"/>
          <w:szCs w:val="24"/>
        </w:rPr>
        <w:t>Stapulone</w:t>
      </w:r>
      <w:proofErr w:type="spellEnd"/>
    </w:p>
    <w:p w:rsidR="0033054C" w:rsidRDefault="0033054C" w:rsidP="0033054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eastAsia="en-GB"/>
        </w:rPr>
      </w:pPr>
    </w:p>
    <w:p w:rsidR="00D57057" w:rsidRDefault="00D570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D57057" w:rsidRDefault="00D57057">
      <w:pPr>
        <w:pBdr>
          <w:top w:val="nil"/>
          <w:left w:val="nil"/>
          <w:bottom w:val="nil"/>
          <w:right w:val="nil"/>
          <w:between w:val="nil"/>
        </w:pBdr>
        <w:spacing w:after="0" w:line="240" w:lineRule="auto"/>
        <w:ind w:left="0" w:hanging="2"/>
        <w:jc w:val="right"/>
        <w:rPr>
          <w:rFonts w:ascii="Times New Roman" w:eastAsia="Times New Roman" w:hAnsi="Times New Roman" w:cs="Times New Roman"/>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rsidR="0061658F" w:rsidRDefault="0061658F">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lang w:val="en-GB" w:eastAsia="en-GB"/>
        </w:rPr>
        <w:drawing>
          <wp:inline distT="0" distB="0" distL="114300" distR="114300" wp14:anchorId="3A917D7D" wp14:editId="7A880357">
            <wp:extent cx="581025" cy="685165"/>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bookmarkStart w:id="1" w:name="_GoBack"/>
      <w:bookmarkEnd w:id="1"/>
    </w:p>
    <w:p w:rsidR="00D57057" w:rsidRDefault="003169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Priekuļu novada pašvaldības</w:t>
      </w:r>
    </w:p>
    <w:p w:rsidR="00D57057" w:rsidRDefault="003169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nekustamā īpašuma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 nosaukumu</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“Veselavas skola”, Veselavas pagasts, Priekuļu novads, kadastra Nr.4294 001 0181</w:t>
      </w:r>
    </w:p>
    <w:p w:rsidR="00D57057" w:rsidRDefault="00D5705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D57057" w:rsidRDefault="003169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NOTEIKUMI</w:t>
      </w:r>
    </w:p>
    <w:p w:rsidR="00D57057" w:rsidRDefault="00D5705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D57057" w:rsidRDefault="0031696E">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Vispārīgie noteikumi</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Mutiskā izsolē ar augšupejošu soli saskaņā ar Publiskas personas mantas atsavināšanas likumu un Priekuļu novada domes 2019.gada 25.aprīļa sēdes lēmumu Nr. 132 protokols Nr.4, p.11.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„Par nekustamā īpašuma “Veselavas skola”, Veselavas pagastā, Priekuļu novadā, nodošanu atsavināšanai”, 100% par EUR tiek pārdots Priekuļu novada pašvaldībai piederošais nekustamais īpašums ar nosaukumu – </w:t>
      </w:r>
      <w:r>
        <w:rPr>
          <w:rFonts w:ascii="Times New Roman" w:eastAsia="Times New Roman" w:hAnsi="Times New Roman" w:cs="Times New Roman"/>
          <w:b/>
          <w:color w:val="000000"/>
          <w:sz w:val="24"/>
          <w:szCs w:val="24"/>
        </w:rPr>
        <w:t>“Veselavas skola”, Veselavas pagastā, Priekuļu novadā, kadastra Nr.42640010181, kas sastāv no zemes gabala ar kopējo platību 17,27 ha, skolas ēkas ar kopējo platību 1331,2 m</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un divām nedzīvojamām ēkām (katlu mājas un šķūņa). Zemes vienības lietošanas mērķis ir noteikts – izglītības iestāžu apbūve, </w:t>
      </w:r>
      <w:r>
        <w:rPr>
          <w:rFonts w:ascii="Times New Roman" w:eastAsia="Times New Roman" w:hAnsi="Times New Roman" w:cs="Times New Roman"/>
          <w:color w:val="000000"/>
          <w:sz w:val="24"/>
          <w:szCs w:val="24"/>
        </w:rPr>
        <w:t>turpmāk tekstā - „Nekustamais īpašums”.</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īpašuma tiesības nostiprinātas Vidzemes rajona tiesas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zemesgrāmatu nodaļas Veselavas pagasta zemesgrāmatas nodalījumā Nr. 100000565974.</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izsoles nosacītā sākuma cena – 59 200 EUR (piecdesmit deviņi tūkstoši divi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000</w:t>
      </w:r>
      <w:r>
        <w:rPr>
          <w:rFonts w:ascii="Times New Roman" w:eastAsia="Times New Roman" w:hAnsi="Times New Roman" w:cs="Times New Roman"/>
          <w:color w:val="000000"/>
          <w:sz w:val="24"/>
          <w:szCs w:val="24"/>
        </w:rPr>
        <w:t xml:space="preserve">,00 EUR (viens tūkstotis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mērķis - pārdot nekustamo īpašumu par iespējami augstāko cenu, nosakot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pretendentu, kas šādu cenu piedāvās, mutiskā izsolē.</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Izsoli veic Priekuļu novada pašvaldības mantas atsavināšanas un izsoles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komisija (turpmāk tekstā – Izsoles komisija) </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Nodrošinājums un dalības maksa izsoles dalībniekiem jāiemaksā Priekuļu novada </w:t>
      </w:r>
      <w:r>
        <w:rPr>
          <w:rFonts w:ascii="Times New Roman" w:eastAsia="Times New Roman" w:hAnsi="Times New Roman" w:cs="Times New Roman"/>
          <w:sz w:val="24"/>
          <w:szCs w:val="24"/>
        </w:rPr>
        <w:t>pašvaldības</w:t>
      </w:r>
      <w:r>
        <w:rPr>
          <w:rFonts w:ascii="Times New Roman" w:eastAsia="Times New Roman" w:hAnsi="Times New Roman" w:cs="Times New Roman"/>
          <w:color w:val="000000"/>
          <w:sz w:val="24"/>
          <w:szCs w:val="24"/>
        </w:rPr>
        <w:t xml:space="preserve"> kontā: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SEB Banka, konta Nr. LV07 UNLA 0004 0111 3080 8, kods UNLALV2X. </w:t>
      </w: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31696E">
      <w:pPr>
        <w:numPr>
          <w:ilvl w:val="0"/>
          <w:numId w:val="1"/>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Informācijas publicēšanas kārtība</w:t>
      </w:r>
    </w:p>
    <w:p w:rsidR="00D57057" w:rsidRDefault="0031696E">
      <w:pPr>
        <w:numPr>
          <w:ilvl w:val="1"/>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 (sludinājums) par izsoli tiek publicēta Latvijas Republikas oficiālajā izdevumā „Latvijas Vēstnesis”, laikrakstā „Druva”, Priekuļu novada domes informatīvajā izdevumā „Priekuļu novada vēstis” un pašvaldības interneta mājas lapā </w:t>
      </w:r>
      <w:hyperlink r:id="rId7">
        <w:r>
          <w:rPr>
            <w:rFonts w:ascii="Times New Roman" w:eastAsia="Times New Roman" w:hAnsi="Times New Roman" w:cs="Times New Roman"/>
            <w:color w:val="0000FF"/>
            <w:sz w:val="24"/>
            <w:szCs w:val="24"/>
            <w:u w:val="single"/>
          </w:rPr>
          <w:t>www.priekuli.lv</w:t>
        </w:r>
      </w:hyperlink>
    </w:p>
    <w:p w:rsidR="00D57057" w:rsidRDefault="00D5705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bookmarkStart w:id="2" w:name="bookmark=id.gjdgxs" w:colFirst="0" w:colLast="0"/>
      <w:bookmarkEnd w:id="2"/>
    </w:p>
    <w:p w:rsidR="00D57057" w:rsidRDefault="003169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Izsoles dalībnieki</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izsoles dalībnieku var kļūt jebkura fiziska vai juridiska persona, kurai ir tiesības iegūt nekustamo īpašumu Latvijas Republikā.</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Visiem pretendentiem, kuri vēlas piedalīties izsolē pirms reģistrēšanās izsolei jāiemaksā nodrošinājums 10 % apmērā no nekustamā īpašuma nosacītās izsoles sākuma cenas, tas ir 5 920,00 EUR ( pieci tūkstoši deviņi simti divdesmit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 ar norādi „Izsoles nodrošinājums”.</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Dalībnieki, kuri nav iemaksājuši nodrošinājuma naudu līdz šajos noteikumos norādītajam datumam, izsolei netiek pielaisti.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vēlas izmantot nekustamā īpašuma pirmpirkuma tiesības, viņam jāiesniedz iesniegums, kurā norādīts pirmpirkuma tiesību pieteikšanas fakts un pamats. </w:t>
      </w: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31696E">
      <w:pPr>
        <w:numPr>
          <w:ilvl w:val="0"/>
          <w:numId w:val="4"/>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Dalībnieku reģistrācijas kārtība</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Dalībniekiem uz izsoli jāreģistrējas Priekuļu novada pašvaldībā,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Priekuļos, Priekuļu pagastā Priekuļu novadā ne vēlāk kā līdz 2019.gada 9.oktobrim plkst.9:30.</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vēlas reģistrēties, izsoles komisijai jāiesniedz šādi dokumenti: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 Fiziskām personām: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4.2.1.1. </w:t>
      </w:r>
      <w:r>
        <w:rPr>
          <w:rFonts w:ascii="Times New Roman" w:eastAsia="Times New Roman" w:hAnsi="Times New Roman" w:cs="Times New Roman"/>
          <w:sz w:val="24"/>
          <w:szCs w:val="24"/>
        </w:rPr>
        <w:t>personu apliecinošs dokuments</w:t>
      </w:r>
      <w:r>
        <w:rPr>
          <w:rFonts w:ascii="Times New Roman" w:eastAsia="Times New Roman" w:hAnsi="Times New Roman" w:cs="Times New Roman"/>
          <w:color w:val="000000"/>
          <w:sz w:val="24"/>
          <w:szCs w:val="24"/>
        </w:rPr>
        <w:t xml:space="preserve"> (jāuzrāda);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Kvīts par nodrošinājuma samaksu (oriģināls);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 Juridiskām personām: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4.2.2.1.Pārstāvja pilnvara (oriģināls);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4.2.2.2.Uzņēmumu reģistra iestādes izziņa par juridiskās personas amatpersonu pārstāvības tiesībām;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4.2.2.3.Juridiskās personas ( kapitālsabiedrības) lēmums par vēlmi iegādāties nekustamo īpašumu izsolē; </w:t>
      </w:r>
    </w:p>
    <w:p w:rsidR="00D57057" w:rsidRDefault="003169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4.2.2.4.Kvīts par nodrošinājuma samaksu (oriģināls)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Izsoles dalībnieki pirms izsoles paraksta izsoles noteikumus un saņem reģistrācijas apliecību. </w:t>
      </w:r>
    </w:p>
    <w:p w:rsidR="00D57057" w:rsidRDefault="0031696E">
      <w:pPr>
        <w:numPr>
          <w:ilvl w:val="0"/>
          <w:numId w:val="4"/>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norise</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 notiks 2019.gada 9.oktobrī plkst.10:00,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Priekuļi, Priekuļu pag., Priekuļu nov., 2. stāva sēžu zālē.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1000,00 EUR (viens tūkstotis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izsolē piedalās dalībnieki, kuri ir pieteikuši pirmpirkuma tiesības, izsoles vadītājs par to informē izsoles dalībniekus.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Sākot izsoli, komisija sastāda dalībnieku sarakstu. Izsole tiek protokolēta. Izsoles protokolā atspoguļo visas izsoles vadītāja un izsoles dalībnieku darbības izsoles gaitā. </w:t>
      </w:r>
      <w:bookmarkStart w:id="3" w:name="bookmark=id.30j0zll" w:colFirst="0" w:colLast="0"/>
      <w:bookmarkEnd w:id="3"/>
      <w:r>
        <w:rPr>
          <w:rFonts w:ascii="Times New Roman" w:eastAsia="Times New Roman" w:hAnsi="Times New Roman" w:cs="Times New Roman"/>
          <w:color w:val="000000"/>
          <w:sz w:val="24"/>
          <w:szCs w:val="24"/>
        </w:rPr>
        <w:t xml:space="preserve">Protokolu paraksta visi izsoles komisijas locekļi.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dalībnieki solīšanas procesā paceļ savu reģistrācijas kartīti ar numuru.</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vadītājs paziņo pirmā solītāja reģistrācijas numuru un piedāvāto cenu.</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Atsakoties no turpmākās solīšanas, katrs izsoles dalībnieks apstiprina ar parakstu izsoles dalībnieku sarakstā savu pēdējo solīto cenu.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color w:val="000000"/>
          <w:sz w:val="24"/>
          <w:szCs w:val="24"/>
        </w:rPr>
        <w:t>izsolītāja</w:t>
      </w:r>
      <w:proofErr w:type="spellEnd"/>
      <w:r>
        <w:rPr>
          <w:rFonts w:ascii="Times New Roman" w:eastAsia="Times New Roman" w:hAnsi="Times New Roman" w:cs="Times New Roman"/>
          <w:color w:val="000000"/>
          <w:sz w:val="24"/>
          <w:szCs w:val="24"/>
        </w:rPr>
        <w:t xml:space="preserve"> paziņojumu par to, ka viņš ir pieņēmis vairāk solījumu, un šis piesitiens noslēdz pārdošanu.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piedāvājis visaugstāko cenu, ar savu parakstu protokolā apliecina savu gribu pirkt nekustamo īpašumu par nosolīto, protokolā norādīto cenu.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31696E">
      <w:pPr>
        <w:numPr>
          <w:ilvl w:val="0"/>
          <w:numId w:val="4"/>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rezultātu apstiprināšana</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tuvākajā domes sēdē, kas seko pēc notikušas izsoles, apstiprina izsoles rezultātus.</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57057" w:rsidRDefault="0031696E">
      <w:pPr>
        <w:numPr>
          <w:ilvl w:val="0"/>
          <w:numId w:val="4"/>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Līguma slēgšanas un norēķina kārtība</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dalībniekam, kurš nosolījis visaugstāko cenu, viena mēneša laikā no izsoles rezultātu apstiprināšanas dienas ir jānomaksā summa, ko veido starpība starp nosolīto cenu un drošības naudu. Izsoles dalības maksa netiek ieskaitīta norēķinos par nosolīto nekustamo īpašumu.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Septiņu dienu laikā pēc izsoles rezultātu apstiprināšanas persona, kas nosolījusi objektu, paraksta pirkuma līgumu.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Visas izmaksas, kas saistītas ar nekustamā īpašuma reģistrāciju uz pircēja vārda, sedz nekustamā īpašuma ieguvējs. </w:t>
      </w:r>
    </w:p>
    <w:p w:rsidR="00D57057" w:rsidRDefault="0031696E">
      <w:pPr>
        <w:numPr>
          <w:ilvl w:val="1"/>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31696E">
      <w:pPr>
        <w:numPr>
          <w:ilvl w:val="0"/>
          <w:numId w:val="4"/>
        </w:num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Nenotikusi izsole</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Izsole atzīstama par nenotikušu, ja:</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8.1.1 uz izsoli neierodas neviens noteiktajā laikā reģistrējies izsoles dalībnieks; </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bookmarkStart w:id="4" w:name="bookmark=id.1fob9te" w:colFirst="0" w:colLast="0"/>
      <w:bookmarkEnd w:id="4"/>
      <w:r>
        <w:rPr>
          <w:rFonts w:ascii="Times New Roman" w:eastAsia="Times New Roman" w:hAnsi="Times New Roman" w:cs="Times New Roman"/>
          <w:color w:val="000000"/>
          <w:sz w:val="24"/>
          <w:szCs w:val="24"/>
        </w:rPr>
        <w:t xml:space="preserve">8.1.2. sākumcena nav pārsolīta; </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8.1.3.noteiktajā termiņā neviens dalībnieks nav reģistrējies; </w:t>
      </w: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8.1.4.nosolītājs nav samaksājis nosolīto cenu. </w:t>
      </w: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3169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E.Stapulone</w:t>
      </w:r>
      <w:proofErr w:type="spellEnd"/>
    </w:p>
    <w:p w:rsidR="00D57057" w:rsidRDefault="00D570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D57057" w:rsidRDefault="00D57057">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sectPr w:rsidR="00D57057">
      <w:pgSz w:w="11906" w:h="16838"/>
      <w:pgMar w:top="426" w:right="1416" w:bottom="851"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94333"/>
    <w:multiLevelType w:val="multilevel"/>
    <w:tmpl w:val="73FE7646"/>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4CF91F55"/>
    <w:multiLevelType w:val="multilevel"/>
    <w:tmpl w:val="5F443386"/>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795B6341"/>
    <w:multiLevelType w:val="multilevel"/>
    <w:tmpl w:val="08ECC64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7BF65026"/>
    <w:multiLevelType w:val="multilevel"/>
    <w:tmpl w:val="F3300DCC"/>
    <w:lvl w:ilvl="0">
      <w:start w:val="1"/>
      <w:numFmt w:val="decimal"/>
      <w:lvlText w:val="%1."/>
      <w:lvlJc w:val="left"/>
      <w:pPr>
        <w:ind w:left="720" w:hanging="360"/>
      </w:pPr>
      <w:rPr>
        <w:vertAlign w:val="baseline"/>
      </w:rPr>
    </w:lvl>
    <w:lvl w:ilvl="1">
      <w:start w:val="1"/>
      <w:numFmt w:val="decimal"/>
      <w:lvlText w:val="%1.%2."/>
      <w:lvlJc w:val="left"/>
      <w:pPr>
        <w:ind w:left="870" w:hanging="510"/>
      </w:pPr>
      <w:rPr>
        <w:b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57"/>
    <w:rsid w:val="00126E26"/>
    <w:rsid w:val="0031696E"/>
    <w:rsid w:val="0033054C"/>
    <w:rsid w:val="0061658F"/>
    <w:rsid w:val="00634A2F"/>
    <w:rsid w:val="00D5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3D54C-24FA-4B5B-92D2-33735B3B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JVvh3PUfxu4+VsF9uzVYMbaLaw==">AMUW2mUP0y+YfsWnSeKL3YSWHv1kGRVcTSn8P9IZJKiSppkFTZrKZ1xXNtLG+Bb+YjfAtGgeJUyTp0aEFHYhbDYx8TdBrZRlA6h6Z+4+d28WBafjLBK9lZXHEY+4zNWaFAjtlaCdV0T2Dz4AUtyG4I3ujkpTCHPGmdyFMkSJ/Fo098CLPxPHrkI=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Daiga</cp:lastModifiedBy>
  <cp:revision>3</cp:revision>
  <dcterms:created xsi:type="dcterms:W3CDTF">2019-08-27T11:36:00Z</dcterms:created>
  <dcterms:modified xsi:type="dcterms:W3CDTF">2019-08-27T12:03:00Z</dcterms:modified>
</cp:coreProperties>
</file>