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4814D" w14:textId="77777777" w:rsidR="00AF55EA" w:rsidRDefault="00C2726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 wp14:anchorId="6D868627" wp14:editId="5CD568C6">
            <wp:extent cx="581025" cy="685800"/>
            <wp:effectExtent l="0" t="0" r="0" b="0"/>
            <wp:docPr id="2" name="image1.jp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riekulu-nov_MB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9141EF" w14:textId="77777777" w:rsidR="00AF55EA" w:rsidRDefault="00C27260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color w:val="000000"/>
        </w:rPr>
      </w:pPr>
      <w:r>
        <w:rPr>
          <w:color w:val="000000"/>
        </w:rPr>
        <w:t>LATVIJAS  REPUBLIKA</w:t>
      </w:r>
    </w:p>
    <w:p w14:paraId="4C9B5B4B" w14:textId="77777777" w:rsidR="00AF55EA" w:rsidRDefault="00C27260">
      <w:pPr>
        <w:pBdr>
          <w:bottom w:val="single" w:sz="12" w:space="1" w:color="000000"/>
        </w:pBd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PRIEKUĻU NOVADA PAŠVALDĪBA</w:t>
      </w:r>
    </w:p>
    <w:p w14:paraId="7F0A348B" w14:textId="77777777" w:rsidR="00AF55EA" w:rsidRDefault="00C27260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458EB2B4" w14:textId="77777777" w:rsidR="00AF55EA" w:rsidRDefault="00C27260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www.priekuli.lv, tālr. 64107871, e-pasts: </w:t>
      </w:r>
      <w:r>
        <w:rPr>
          <w:color w:val="000000"/>
          <w:sz w:val="18"/>
          <w:szCs w:val="18"/>
        </w:rPr>
        <w:t>dome@priekulunovads.lv</w:t>
      </w:r>
    </w:p>
    <w:p w14:paraId="0E6A8720" w14:textId="77777777" w:rsidR="00AF55EA" w:rsidRDefault="00AF55EA"/>
    <w:p w14:paraId="27CE8109" w14:textId="77777777" w:rsidR="00864C19" w:rsidRPr="0071022F" w:rsidRDefault="00864C19" w:rsidP="00864C19">
      <w:pPr>
        <w:autoSpaceDN w:val="0"/>
        <w:jc w:val="center"/>
        <w:outlineLvl w:val="0"/>
        <w:rPr>
          <w:b/>
        </w:rPr>
      </w:pPr>
      <w:bookmarkStart w:id="0" w:name="_Hlk41983355"/>
      <w:bookmarkStart w:id="1" w:name="_Hlk41897125"/>
      <w:bookmarkStart w:id="2" w:name="_Hlk41897766"/>
      <w:r w:rsidRPr="0071022F">
        <w:rPr>
          <w:b/>
        </w:rPr>
        <w:t>Lēmums</w:t>
      </w:r>
    </w:p>
    <w:p w14:paraId="383908C4" w14:textId="77777777" w:rsidR="00864C19" w:rsidRPr="0071022F" w:rsidRDefault="00864C19" w:rsidP="00864C19">
      <w:pPr>
        <w:autoSpaceDN w:val="0"/>
        <w:jc w:val="center"/>
        <w:outlineLvl w:val="0"/>
      </w:pPr>
      <w:r w:rsidRPr="0071022F">
        <w:t>Priekuļu novada Priekuļu pagastā</w:t>
      </w:r>
    </w:p>
    <w:p w14:paraId="7F122084" w14:textId="77777777" w:rsidR="00864C19" w:rsidRPr="0071022F" w:rsidRDefault="00864C19" w:rsidP="00864C19">
      <w:pPr>
        <w:autoSpaceDN w:val="0"/>
        <w:jc w:val="center"/>
      </w:pPr>
      <w:bookmarkStart w:id="3" w:name="_Hlk36209888"/>
    </w:p>
    <w:p w14:paraId="75765592" w14:textId="77777777" w:rsidR="00864C19" w:rsidRPr="0071022F" w:rsidRDefault="00864C19" w:rsidP="00864C19">
      <w:pPr>
        <w:autoSpaceDN w:val="0"/>
        <w:jc w:val="both"/>
        <w:rPr>
          <w:bCs/>
          <w:iCs/>
        </w:rPr>
      </w:pPr>
      <w:bookmarkStart w:id="4" w:name="_Hlk52016375"/>
      <w:bookmarkStart w:id="5" w:name="_Hlk57643696"/>
      <w:bookmarkStart w:id="6" w:name="_Hlk31043150"/>
      <w:bookmarkStart w:id="7" w:name="_Hlk33610634"/>
      <w:r w:rsidRPr="0071022F">
        <w:rPr>
          <w:bCs/>
          <w:iCs/>
        </w:rPr>
        <w:t>2</w:t>
      </w:r>
      <w:bookmarkStart w:id="8" w:name="_Hlk33613557"/>
      <w:r w:rsidRPr="0071022F">
        <w:rPr>
          <w:bCs/>
          <w:iCs/>
        </w:rPr>
        <w:t>02</w:t>
      </w:r>
      <w:r>
        <w:rPr>
          <w:bCs/>
          <w:iCs/>
        </w:rPr>
        <w:t>1</w:t>
      </w:r>
      <w:r w:rsidRPr="0071022F">
        <w:rPr>
          <w:bCs/>
          <w:iCs/>
        </w:rPr>
        <w:t xml:space="preserve">.gada </w:t>
      </w:r>
      <w:bookmarkEnd w:id="4"/>
      <w:bookmarkEnd w:id="5"/>
      <w:r>
        <w:rPr>
          <w:bCs/>
          <w:iCs/>
        </w:rPr>
        <w:t>25.martā</w:t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</w:t>
      </w:r>
      <w:r>
        <w:rPr>
          <w:bCs/>
          <w:iCs/>
        </w:rPr>
        <w:t xml:space="preserve">               </w:t>
      </w:r>
      <w:r w:rsidRPr="0071022F">
        <w:rPr>
          <w:bCs/>
          <w:iCs/>
        </w:rPr>
        <w:t>Nr.</w:t>
      </w:r>
      <w:r>
        <w:rPr>
          <w:bCs/>
          <w:iCs/>
        </w:rPr>
        <w:t>122</w:t>
      </w:r>
    </w:p>
    <w:p w14:paraId="57BDB85A" w14:textId="77777777" w:rsidR="00864C19" w:rsidRPr="0071022F" w:rsidRDefault="00864C19" w:rsidP="00864C19">
      <w:pPr>
        <w:autoSpaceDN w:val="0"/>
        <w:jc w:val="both"/>
        <w:rPr>
          <w:bCs/>
        </w:rPr>
      </w:pP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  (protokols Nr.</w:t>
      </w:r>
      <w:r>
        <w:rPr>
          <w:bCs/>
          <w:iCs/>
        </w:rPr>
        <w:t>4</w:t>
      </w:r>
      <w:r w:rsidRPr="0071022F">
        <w:rPr>
          <w:bCs/>
          <w:iCs/>
        </w:rPr>
        <w:t xml:space="preserve">, </w:t>
      </w:r>
      <w:r>
        <w:rPr>
          <w:bCs/>
          <w:iCs/>
        </w:rPr>
        <w:t xml:space="preserve">33 </w:t>
      </w:r>
      <w:r w:rsidRPr="0071022F">
        <w:rPr>
          <w:bCs/>
          <w:iCs/>
        </w:rPr>
        <w:t>.</w:t>
      </w:r>
      <w:r w:rsidRPr="0071022F">
        <w:rPr>
          <w:bCs/>
        </w:rPr>
        <w:t>p.)</w:t>
      </w:r>
      <w:bookmarkEnd w:id="0"/>
    </w:p>
    <w:p w14:paraId="24562758" w14:textId="77777777" w:rsidR="00864C19" w:rsidRPr="0071022F" w:rsidRDefault="00864C19" w:rsidP="00864C19">
      <w:bookmarkStart w:id="9" w:name="_Hlk22989632"/>
      <w:bookmarkEnd w:id="1"/>
      <w:bookmarkEnd w:id="3"/>
      <w:bookmarkEnd w:id="6"/>
      <w:bookmarkEnd w:id="8"/>
    </w:p>
    <w:bookmarkEnd w:id="2"/>
    <w:bookmarkEnd w:id="7"/>
    <w:bookmarkEnd w:id="9"/>
    <w:p w14:paraId="18301BDC" w14:textId="77777777" w:rsidR="00AF55EA" w:rsidRDefault="00AF55EA">
      <w:pPr>
        <w:jc w:val="both"/>
      </w:pPr>
    </w:p>
    <w:p w14:paraId="6A8418CF" w14:textId="6F22D97D" w:rsidR="00AF55EA" w:rsidRDefault="00C27260" w:rsidP="004E2896">
      <w:pPr>
        <w:jc w:val="center"/>
        <w:rPr>
          <w:b/>
          <w:u w:val="single"/>
        </w:rPr>
      </w:pPr>
      <w:r>
        <w:rPr>
          <w:b/>
          <w:u w:val="single"/>
        </w:rPr>
        <w:t>Par Ed. Veidenbauma memoriālā muzeja “Kalāči” muzejpedagoģisko programmu maksu</w:t>
      </w:r>
    </w:p>
    <w:p w14:paraId="68B8A81F" w14:textId="77777777" w:rsidR="00AF55EA" w:rsidRDefault="00AF55EA">
      <w:pPr>
        <w:ind w:firstLine="567"/>
        <w:jc w:val="both"/>
        <w:rPr>
          <w:b/>
        </w:rPr>
      </w:pPr>
    </w:p>
    <w:p w14:paraId="0F168ED2" w14:textId="77777777" w:rsidR="00AF55EA" w:rsidRDefault="00C27260">
      <w:pPr>
        <w:ind w:firstLine="567"/>
        <w:jc w:val="both"/>
      </w:pPr>
      <w:r>
        <w:t xml:space="preserve">Priekuļu novada pašvaldības dome izskata Ed. Veidenbauma memoriālā muzeja “Kalāči” muzejpedagoģes Baibas Rozes izstrādāto priekšlikumu par muzejpedagoģisko programmu izcenojumu. </w:t>
      </w:r>
    </w:p>
    <w:p w14:paraId="1D5D7846" w14:textId="6AFE6C9C" w:rsidR="004E2896" w:rsidRPr="004E2896" w:rsidRDefault="00C27260" w:rsidP="004E2896">
      <w:pPr>
        <w:ind w:firstLine="567"/>
        <w:jc w:val="both"/>
      </w:pPr>
      <w:r>
        <w:t xml:space="preserve">Izvērtējot domes rīcībā esošo informāciju un pamatojoties uz muzeja speciālistu priekšlikumu, likuma “Par pašvaldībām” 21.panta pirmās daļas 14.punkta g apakšpunktu, kas nosaka, </w:t>
      </w:r>
      <w:r>
        <w:rPr>
          <w:i/>
        </w:rPr>
        <w:t xml:space="preserve">ka Dome var izskatīt jebkuru jautājumu, kas ir attiecīgās pašvaldības pārziņā, turklāt tikai dome var noteikt maksu par citiem pašvaldības sniegtajiem pakalpojumiem, </w:t>
      </w:r>
      <w:r>
        <w:t>Izglītības, kultūras un sporta komitejas 2021.gada 17.marta lēmumu (protok</w:t>
      </w:r>
      <w:r w:rsidR="00864C19">
        <w:t>ols</w:t>
      </w:r>
      <w:r>
        <w:t xml:space="preserve"> Nr.</w:t>
      </w:r>
      <w:r w:rsidR="00864C19">
        <w:t>2</w:t>
      </w:r>
      <w:r>
        <w:t>), Finašu komitejas 2021.gada 22.marta lēmumu (</w:t>
      </w:r>
      <w:r w:rsidR="00864C19">
        <w:t>p</w:t>
      </w:r>
      <w:r>
        <w:t>rotok</w:t>
      </w:r>
      <w:r w:rsidR="00864C19">
        <w:t>ols</w:t>
      </w:r>
      <w:r>
        <w:t xml:space="preserve"> Nr.</w:t>
      </w:r>
      <w:r w:rsidR="00864C19">
        <w:t>4</w:t>
      </w:r>
      <w:r>
        <w:t xml:space="preserve">), </w:t>
      </w:r>
      <w:r w:rsidR="004E2896">
        <w:t>e</w:t>
      </w:r>
      <w:r w:rsidR="004E2896" w:rsidRPr="009D3A3F">
        <w:t>lektroniski balsojot tiešsaistē,</w:t>
      </w:r>
      <w:r w:rsidR="004E2896" w:rsidRPr="0071022F">
        <w:t xml:space="preserve"> </w:t>
      </w:r>
      <w:r w:rsidR="004E2896" w:rsidRPr="003453CA">
        <w:t>PAR –1</w:t>
      </w:r>
      <w:r w:rsidR="004E2896">
        <w:t>3</w:t>
      </w:r>
      <w:r w:rsidR="004E2896" w:rsidRPr="003453CA">
        <w:t xml:space="preserve"> (</w:t>
      </w:r>
      <w:r w:rsidR="004E2896" w:rsidRPr="007A337F">
        <w:t xml:space="preserve">Elīna Stapulone, Dace Kalniņa, Aivars Tīdemanis, Jānis Mičulis, Arnis Melbārdis, Aivars Kalnietis, Māris Baltiņš, Baiba Karlsberga, Normunds Kažoks, Sarmīte Orehova, Mārīte  Raudziņa, Juris </w:t>
      </w:r>
      <w:proofErr w:type="spellStart"/>
      <w:r w:rsidR="004E2896" w:rsidRPr="007A337F">
        <w:t>Sukaruks</w:t>
      </w:r>
      <w:proofErr w:type="spellEnd"/>
      <w:r w:rsidR="004E2896" w:rsidRPr="007A337F">
        <w:t>, Elīna Krieviņa</w:t>
      </w:r>
      <w:r w:rsidR="004E2896" w:rsidRPr="003453CA">
        <w:t>)</w:t>
      </w:r>
      <w:r w:rsidR="004E2896">
        <w:t>,</w:t>
      </w:r>
      <w:r w:rsidR="004E2896" w:rsidRPr="003453CA">
        <w:t xml:space="preserve"> PRET –nav, ATTURAS –nav, Priekuļu novada dome </w:t>
      </w:r>
      <w:r w:rsidR="004E2896" w:rsidRPr="003453CA">
        <w:rPr>
          <w:b/>
        </w:rPr>
        <w:t>nolemj</w:t>
      </w:r>
    </w:p>
    <w:p w14:paraId="7CFD6D06" w14:textId="77777777" w:rsidR="00864C19" w:rsidRDefault="00864C19">
      <w:pPr>
        <w:ind w:firstLine="567"/>
        <w:jc w:val="both"/>
      </w:pPr>
    </w:p>
    <w:p w14:paraId="214C73FF" w14:textId="26FE8B4B" w:rsidR="00AF55EA" w:rsidRDefault="00C272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  <w:r>
        <w:rPr>
          <w:color w:val="000000"/>
        </w:rPr>
        <w:t xml:space="preserve">Apstiprināt muzejpedagoģisko programmu izcenojumu. </w:t>
      </w:r>
    </w:p>
    <w:p w14:paraId="0D0AB802" w14:textId="77777777" w:rsidR="00864C19" w:rsidRDefault="00C27260" w:rsidP="00864C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  <w:r>
        <w:rPr>
          <w:color w:val="000000"/>
        </w:rPr>
        <w:t>Uzdod Ed. Veidenbauma muzeja darbiniekiem sagatavot informāciju par apstiprinātajiem programmu izcenojumiem Priekuļu novada pašvaldības tīmekļa vietnei  priekuli.lv, Muzeju biedrības tīmekļa vietnei, Kultūrizglītības programmu "Latvijas skolas soma" piedāvājumam.</w:t>
      </w:r>
    </w:p>
    <w:p w14:paraId="6F41EB4E" w14:textId="77777777" w:rsidR="00864C19" w:rsidRPr="00864C19" w:rsidRDefault="00864C19" w:rsidP="00864C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  <w:r w:rsidRPr="00864C19">
        <w:rPr>
          <w:color w:val="000000"/>
        </w:rPr>
        <w:t>2020./2021.mācību gadā Priekuļu vidusskolas un Liepas pamatskolas izglītojamos atbrīvot no maksas par Ed. Veidenbauma  muzejpedagoģisko programmu apguvi.</w:t>
      </w:r>
    </w:p>
    <w:p w14:paraId="4EED1395" w14:textId="77777777" w:rsidR="00AF55EA" w:rsidRDefault="00C272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  <w:bookmarkStart w:id="10" w:name="_Hlk67564354"/>
      <w:r>
        <w:rPr>
          <w:color w:val="000000"/>
        </w:rPr>
        <w:t xml:space="preserve">Atbildīgā par lēmuma izpildi – Ed. Veidenbauma muzeja vadītāja A. </w:t>
      </w:r>
      <w:proofErr w:type="spellStart"/>
      <w:r>
        <w:rPr>
          <w:color w:val="000000"/>
        </w:rPr>
        <w:t>Ķīse</w:t>
      </w:r>
      <w:proofErr w:type="spellEnd"/>
      <w:r>
        <w:rPr>
          <w:color w:val="000000"/>
        </w:rPr>
        <w:t>.</w:t>
      </w:r>
    </w:p>
    <w:bookmarkEnd w:id="10"/>
    <w:p w14:paraId="78152BE5" w14:textId="77777777" w:rsidR="00AF55EA" w:rsidRDefault="00C272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  <w:r>
        <w:rPr>
          <w:color w:val="000000"/>
        </w:rPr>
        <w:t>Kontroli par lēmuma izpildi veic izpilddirektors F. Puņeiko.</w:t>
      </w:r>
    </w:p>
    <w:p w14:paraId="5F41D831" w14:textId="77777777" w:rsidR="00AF55EA" w:rsidRDefault="00AF55EA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</w:rPr>
      </w:pPr>
    </w:p>
    <w:p w14:paraId="7C0FAE22" w14:textId="77777777" w:rsidR="00AF55EA" w:rsidRDefault="00C27260" w:rsidP="00864C1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Pielikumā: Muzejpedagoģisko programmu izcenojums.</w:t>
      </w:r>
    </w:p>
    <w:p w14:paraId="0098427F" w14:textId="77777777" w:rsidR="00AF55EA" w:rsidRDefault="00AF55EA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</w:rPr>
      </w:pPr>
    </w:p>
    <w:p w14:paraId="6C3BA43A" w14:textId="77777777" w:rsidR="00AF55EA" w:rsidRDefault="00AF55EA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</w:rPr>
      </w:pPr>
    </w:p>
    <w:p w14:paraId="1FAEDD36" w14:textId="730FA1FC" w:rsidR="00080C28" w:rsidRDefault="00643398">
      <w:bookmarkStart w:id="11" w:name="_Hlk22994951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  <w:bookmarkEnd w:id="11"/>
    </w:p>
    <w:p w14:paraId="39C62DCB" w14:textId="77777777" w:rsidR="00643398" w:rsidRDefault="00643398">
      <w:pPr>
        <w:rPr>
          <w:color w:val="000000"/>
        </w:rPr>
      </w:pPr>
    </w:p>
    <w:p w14:paraId="29BBBF92" w14:textId="77777777" w:rsidR="00AF55EA" w:rsidRDefault="00AF55EA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</w:rPr>
      </w:pPr>
    </w:p>
    <w:p w14:paraId="22B10FB8" w14:textId="77777777" w:rsidR="00864C19" w:rsidRDefault="00864C19" w:rsidP="00864C1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02214F45" wp14:editId="52EACDA7">
            <wp:extent cx="581025" cy="685800"/>
            <wp:effectExtent l="0" t="0" r="0" b="0"/>
            <wp:docPr id="1" name="image1.jp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riekulu-nov_MB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B4CAD9" w14:textId="77777777" w:rsidR="00864C19" w:rsidRDefault="00864C19" w:rsidP="00864C1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color w:val="000000"/>
        </w:rPr>
      </w:pPr>
      <w:r>
        <w:rPr>
          <w:color w:val="000000"/>
        </w:rPr>
        <w:t>LATVIJAS  REPUBLIKA</w:t>
      </w:r>
    </w:p>
    <w:p w14:paraId="1BD6F234" w14:textId="77777777" w:rsidR="00864C19" w:rsidRDefault="00864C19" w:rsidP="00864C19">
      <w:pPr>
        <w:pBdr>
          <w:bottom w:val="single" w:sz="12" w:space="1" w:color="000000"/>
        </w:pBd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PRIEKUĻU NOVADA PAŠVALDĪBA</w:t>
      </w:r>
    </w:p>
    <w:p w14:paraId="201662AD" w14:textId="77777777" w:rsidR="00864C19" w:rsidRDefault="00864C19" w:rsidP="00864C19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15D439A7" w14:textId="77777777" w:rsidR="00864C19" w:rsidRDefault="00864C19" w:rsidP="00864C19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www.priekuli.lv, tālr. 64107871, e-pasts: </w:t>
      </w:r>
      <w:r>
        <w:rPr>
          <w:color w:val="000000"/>
          <w:sz w:val="18"/>
          <w:szCs w:val="18"/>
        </w:rPr>
        <w:t>dome@priekulunovads.lv</w:t>
      </w:r>
    </w:p>
    <w:p w14:paraId="09B474FE" w14:textId="77777777" w:rsidR="00AF55EA" w:rsidRDefault="00AF55EA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</w:rPr>
      </w:pPr>
    </w:p>
    <w:p w14:paraId="6AF8E606" w14:textId="77777777" w:rsidR="00AF55EA" w:rsidRDefault="00AF55EA">
      <w:pPr>
        <w:jc w:val="both"/>
      </w:pPr>
    </w:p>
    <w:p w14:paraId="699D6565" w14:textId="77777777" w:rsidR="00AF55EA" w:rsidRDefault="00C27260">
      <w:pPr>
        <w:pBdr>
          <w:top w:val="nil"/>
          <w:left w:val="nil"/>
          <w:bottom w:val="nil"/>
          <w:right w:val="nil"/>
          <w:between w:val="nil"/>
        </w:pBdr>
        <w:ind w:left="1134"/>
        <w:jc w:val="center"/>
        <w:rPr>
          <w:color w:val="000000"/>
        </w:rPr>
      </w:pPr>
      <w:r>
        <w:rPr>
          <w:color w:val="000000"/>
        </w:rPr>
        <w:t>Ed. Veidenbauma memoriālā muzeja “Kalāči” muzejpedagoģisko programmu izcenojums</w:t>
      </w:r>
    </w:p>
    <w:p w14:paraId="5647BF36" w14:textId="77777777" w:rsidR="00AF55EA" w:rsidRDefault="00AF55EA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</w:rPr>
      </w:pPr>
    </w:p>
    <w:p w14:paraId="197F6D8F" w14:textId="77777777" w:rsidR="00AF55EA" w:rsidRDefault="00AF55EA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</w:rPr>
      </w:pPr>
    </w:p>
    <w:tbl>
      <w:tblPr>
        <w:tblStyle w:val="a"/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5983"/>
        <w:gridCol w:w="1814"/>
      </w:tblGrid>
      <w:tr w:rsidR="00AF55EA" w14:paraId="19DD29E9" w14:textId="77777777" w:rsidTr="00864C19">
        <w:tc>
          <w:tcPr>
            <w:tcW w:w="2552" w:type="dxa"/>
          </w:tcPr>
          <w:p w14:paraId="489AD2DA" w14:textId="77777777" w:rsidR="00AF55EA" w:rsidRDefault="00C2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Programmas nosaukums</w:t>
            </w:r>
          </w:p>
        </w:tc>
        <w:tc>
          <w:tcPr>
            <w:tcW w:w="5983" w:type="dxa"/>
          </w:tcPr>
          <w:p w14:paraId="7697CF1B" w14:textId="77777777" w:rsidR="00AF55EA" w:rsidRDefault="00C2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Īss programmas apraksts</w:t>
            </w:r>
          </w:p>
        </w:tc>
        <w:tc>
          <w:tcPr>
            <w:tcW w:w="1814" w:type="dxa"/>
          </w:tcPr>
          <w:p w14:paraId="38F13DD0" w14:textId="77777777" w:rsidR="00AF55EA" w:rsidRDefault="00C2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Cena</w:t>
            </w:r>
          </w:p>
        </w:tc>
      </w:tr>
      <w:tr w:rsidR="00AF55EA" w14:paraId="763DE00C" w14:textId="77777777" w:rsidTr="00864C19">
        <w:tc>
          <w:tcPr>
            <w:tcW w:w="2552" w:type="dxa"/>
          </w:tcPr>
          <w:p w14:paraId="549D7ED9" w14:textId="77777777" w:rsidR="00AF55EA" w:rsidRDefault="00C272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Interaktīva nodarbība “Ed. Veidenbauma iedvesmota dzejas stunda”</w:t>
            </w:r>
          </w:p>
          <w:p w14:paraId="3918354E" w14:textId="77777777" w:rsidR="00AF55EA" w:rsidRDefault="00AF5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983" w:type="dxa"/>
          </w:tcPr>
          <w:p w14:paraId="70C1CF71" w14:textId="77777777" w:rsidR="00AF55EA" w:rsidRDefault="00C2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Iepazīšanās ar E. Veidenbauma dzejas tēmām, darbs ar kādu no E. Veidenbauma dzejoļiem, asociāciju spēle, asociāciju meklēšana E. Veidenbauma dzejoļos, kartīšu spēle “Veidenbaums un es”, dzejoļu rakstīšanas darbnīcas. 5.-12.klase, grupa līdz 20 cilvēkiem.</w:t>
            </w:r>
          </w:p>
        </w:tc>
        <w:tc>
          <w:tcPr>
            <w:tcW w:w="1814" w:type="dxa"/>
          </w:tcPr>
          <w:p w14:paraId="564027A6" w14:textId="77777777" w:rsidR="00AF55EA" w:rsidRDefault="00C2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10 EUR no grupas + ieejas maksa muzejā</w:t>
            </w:r>
          </w:p>
        </w:tc>
      </w:tr>
      <w:tr w:rsidR="00AF55EA" w14:paraId="38851F07" w14:textId="77777777" w:rsidTr="00864C19">
        <w:tc>
          <w:tcPr>
            <w:tcW w:w="2552" w:type="dxa"/>
          </w:tcPr>
          <w:p w14:paraId="3EC916E8" w14:textId="77777777" w:rsidR="00AF55EA" w:rsidRDefault="00C2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Interaktīva nodarbība “Ed. Veidenbauma personības un vērtību iepazīšana”</w:t>
            </w:r>
          </w:p>
        </w:tc>
        <w:tc>
          <w:tcPr>
            <w:tcW w:w="5983" w:type="dxa"/>
          </w:tcPr>
          <w:p w14:paraId="4380A782" w14:textId="77777777" w:rsidR="00AF55EA" w:rsidRDefault="00C2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E. Veidenbauma psiholoģiskā portreta veidošana, domu karte “Vērtības”, “Vērtību termometrs”.</w:t>
            </w:r>
          </w:p>
          <w:p w14:paraId="39A70F47" w14:textId="77777777" w:rsidR="00AF55EA" w:rsidRDefault="00C2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8.-12.klase, grupa līdz 20 cilvēkiem.</w:t>
            </w:r>
          </w:p>
        </w:tc>
        <w:tc>
          <w:tcPr>
            <w:tcW w:w="1814" w:type="dxa"/>
          </w:tcPr>
          <w:p w14:paraId="5901E398" w14:textId="77777777" w:rsidR="00AF55EA" w:rsidRDefault="00C2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10 EUR no grupas + ieejas maksa muzejā</w:t>
            </w:r>
          </w:p>
        </w:tc>
      </w:tr>
      <w:tr w:rsidR="00AF55EA" w14:paraId="64968D30" w14:textId="77777777" w:rsidTr="00864C19">
        <w:tc>
          <w:tcPr>
            <w:tcW w:w="2552" w:type="dxa"/>
          </w:tcPr>
          <w:p w14:paraId="66041D17" w14:textId="77777777" w:rsidR="00AF55EA" w:rsidRDefault="00C2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Izlaušanās istaba “Pazudis Veidenbaums”</w:t>
            </w:r>
          </w:p>
        </w:tc>
        <w:tc>
          <w:tcPr>
            <w:tcW w:w="5983" w:type="dxa"/>
          </w:tcPr>
          <w:p w14:paraId="46DCFB7C" w14:textId="77777777" w:rsidR="00AF55EA" w:rsidRDefault="00C2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E. Veidenbauma personības stāstā balstīta izlaušanās istaba.</w:t>
            </w:r>
          </w:p>
          <w:p w14:paraId="26A88EC1" w14:textId="77777777" w:rsidR="00AF55EA" w:rsidRDefault="00C2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8.-12.klase, grupa līdz 20 cilvēkiem.</w:t>
            </w:r>
          </w:p>
        </w:tc>
        <w:tc>
          <w:tcPr>
            <w:tcW w:w="1814" w:type="dxa"/>
          </w:tcPr>
          <w:p w14:paraId="2B793943" w14:textId="77777777" w:rsidR="00AF55EA" w:rsidRDefault="00C2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10 EUR no grupas + ieejas maksa muzejā</w:t>
            </w:r>
          </w:p>
        </w:tc>
      </w:tr>
      <w:tr w:rsidR="00AF55EA" w14:paraId="0EE62574" w14:textId="77777777" w:rsidTr="00864C19">
        <w:tc>
          <w:tcPr>
            <w:tcW w:w="2552" w:type="dxa"/>
          </w:tcPr>
          <w:p w14:paraId="7EB36012" w14:textId="77777777" w:rsidR="00AF55EA" w:rsidRDefault="00C2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Orientēšanās spēle “Pazudis Veidenbaums”</w:t>
            </w:r>
          </w:p>
        </w:tc>
        <w:tc>
          <w:tcPr>
            <w:tcW w:w="5983" w:type="dxa"/>
          </w:tcPr>
          <w:p w14:paraId="4279997C" w14:textId="77777777" w:rsidR="00AF55EA" w:rsidRDefault="00C2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Orientēšanās spēle muzeja teritorijā ar faktiem par muzeja vēsturi, Veidenbaumu ģimeni, E. Veidenbauma dzeju un personību.</w:t>
            </w:r>
          </w:p>
          <w:p w14:paraId="4E020921" w14:textId="77777777" w:rsidR="00AF55EA" w:rsidRDefault="00C2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8.-12.klase, grupa līdz 20 cilvēkiem.</w:t>
            </w:r>
          </w:p>
        </w:tc>
        <w:tc>
          <w:tcPr>
            <w:tcW w:w="1814" w:type="dxa"/>
          </w:tcPr>
          <w:p w14:paraId="3F252416" w14:textId="77777777" w:rsidR="00AF55EA" w:rsidRDefault="00C2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10 EUR no grupas + ieejas maksa muzejā</w:t>
            </w:r>
          </w:p>
        </w:tc>
      </w:tr>
      <w:tr w:rsidR="00AF55EA" w14:paraId="7DC96439" w14:textId="77777777" w:rsidTr="00864C19">
        <w:tc>
          <w:tcPr>
            <w:tcW w:w="2552" w:type="dxa"/>
          </w:tcPr>
          <w:p w14:paraId="2E37953B" w14:textId="77777777" w:rsidR="00AF55EA" w:rsidRDefault="00C2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Svini savus svētkus muzejā!</w:t>
            </w:r>
          </w:p>
        </w:tc>
        <w:tc>
          <w:tcPr>
            <w:tcW w:w="5983" w:type="dxa"/>
          </w:tcPr>
          <w:p w14:paraId="2564B3DB" w14:textId="77777777" w:rsidR="00AF55EA" w:rsidRDefault="00C2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Dzimšanas dienu svinēšanas piedāvājums ar dzejas rakstīšanu, radošām aktivitātēm, laikmeta iepazīšanu. Dažādām vecuma grupām līdz 20 cilvēkiem.</w:t>
            </w:r>
          </w:p>
        </w:tc>
        <w:tc>
          <w:tcPr>
            <w:tcW w:w="1814" w:type="dxa"/>
          </w:tcPr>
          <w:p w14:paraId="23548D9C" w14:textId="77777777" w:rsidR="00AF55EA" w:rsidRDefault="00C2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20 EUR no grupas + ieejas maksa muzejā</w:t>
            </w:r>
          </w:p>
        </w:tc>
      </w:tr>
    </w:tbl>
    <w:p w14:paraId="3216D4A5" w14:textId="77777777" w:rsidR="00AF55EA" w:rsidRDefault="00AF55EA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</w:rPr>
      </w:pPr>
    </w:p>
    <w:p w14:paraId="30E8942F" w14:textId="77777777" w:rsidR="00AF55EA" w:rsidRDefault="00AF55EA">
      <w:pPr>
        <w:pBdr>
          <w:top w:val="nil"/>
          <w:left w:val="nil"/>
          <w:bottom w:val="nil"/>
          <w:right w:val="nil"/>
          <w:between w:val="nil"/>
        </w:pBdr>
        <w:ind w:left="1134" w:hanging="567"/>
        <w:jc w:val="both"/>
        <w:rPr>
          <w:color w:val="000000"/>
        </w:rPr>
      </w:pPr>
    </w:p>
    <w:p w14:paraId="6589AB89" w14:textId="77777777" w:rsidR="00AF55EA" w:rsidRDefault="00AF55EA"/>
    <w:sectPr w:rsidR="00AF55EA" w:rsidSect="00864C19">
      <w:headerReference w:type="default" r:id="rId9"/>
      <w:pgSz w:w="11906" w:h="16838"/>
      <w:pgMar w:top="1135" w:right="991" w:bottom="1440" w:left="1800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F9AB2" w14:textId="77777777" w:rsidR="00963446" w:rsidRDefault="00963446" w:rsidP="00864C19">
      <w:r>
        <w:separator/>
      </w:r>
    </w:p>
  </w:endnote>
  <w:endnote w:type="continuationSeparator" w:id="0">
    <w:p w14:paraId="0648C3A8" w14:textId="77777777" w:rsidR="00963446" w:rsidRDefault="00963446" w:rsidP="0086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E91A3" w14:textId="77777777" w:rsidR="00963446" w:rsidRDefault="00963446" w:rsidP="00864C19">
      <w:r>
        <w:separator/>
      </w:r>
    </w:p>
  </w:footnote>
  <w:footnote w:type="continuationSeparator" w:id="0">
    <w:p w14:paraId="2DD62F4B" w14:textId="77777777" w:rsidR="00963446" w:rsidRDefault="00963446" w:rsidP="00864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208F6" w14:textId="7F16C282" w:rsidR="00864C19" w:rsidRDefault="00864C19" w:rsidP="00864C19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4319CF"/>
    <w:multiLevelType w:val="multilevel"/>
    <w:tmpl w:val="BEEE4900"/>
    <w:lvl w:ilvl="0">
      <w:start w:val="1"/>
      <w:numFmt w:val="decimal"/>
      <w:lvlText w:val="%1."/>
      <w:lvlJc w:val="left"/>
      <w:pPr>
        <w:ind w:left="1512" w:hanging="94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5EA"/>
    <w:rsid w:val="00080C28"/>
    <w:rsid w:val="003C0ACE"/>
    <w:rsid w:val="004E2896"/>
    <w:rsid w:val="00643398"/>
    <w:rsid w:val="00841D6A"/>
    <w:rsid w:val="00864C19"/>
    <w:rsid w:val="00963446"/>
    <w:rsid w:val="00AF55EA"/>
    <w:rsid w:val="00C2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3329D4"/>
  <w15:docId w15:val="{B7043443-FE9D-4A59-8C70-FB557C03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rPr>
      <w:rFonts w:ascii="Calibri" w:eastAsia="Calibri" w:hAnsi="Calibri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table" w:styleId="Reatabula">
    <w:name w:val="Table Grid"/>
    <w:basedOn w:val="Parastatabula"/>
    <w:uiPriority w:val="59"/>
    <w:rsid w:val="00DE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mentrateksts">
    <w:name w:val="annotation text"/>
    <w:basedOn w:val="Parasts"/>
    <w:link w:val="KomentratekstsRakstz"/>
    <w:uiPriority w:val="99"/>
    <w:semiHidden/>
    <w:unhideWhenUsed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sz w:val="20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864C19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64C19"/>
  </w:style>
  <w:style w:type="paragraph" w:styleId="Kjene">
    <w:name w:val="footer"/>
    <w:basedOn w:val="Parasts"/>
    <w:link w:val="KjeneRakstz"/>
    <w:uiPriority w:val="99"/>
    <w:unhideWhenUsed/>
    <w:rsid w:val="00864C19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64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J2JNoRIlrmcpExCoRZh7VoNrUw==">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2369</Words>
  <Characters>1351</Characters>
  <Application>Microsoft Office Word</Application>
  <DocSecurity>0</DocSecurity>
  <Lines>11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5</cp:revision>
  <cp:lastPrinted>2021-03-26T06:27:00Z</cp:lastPrinted>
  <dcterms:created xsi:type="dcterms:W3CDTF">2021-03-25T09:34:00Z</dcterms:created>
  <dcterms:modified xsi:type="dcterms:W3CDTF">2021-03-26T08:16:00Z</dcterms:modified>
</cp:coreProperties>
</file>